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C184" w14:textId="08D89E34" w:rsidR="00C669C4" w:rsidRPr="00C669C4" w:rsidRDefault="000C0D39" w:rsidP="00C669C4">
      <w:pPr>
        <w:pStyle w:val="Heading1"/>
        <w:rPr>
          <w:rFonts w:asciiTheme="minorHAnsi" w:hAnsiTheme="minorHAnsi" w:cstheme="minorHAnsi"/>
          <w:sz w:val="44"/>
          <w:szCs w:val="44"/>
        </w:rPr>
      </w:pPr>
      <w:r w:rsidRPr="00C669C4">
        <w:rPr>
          <w:rFonts w:asciiTheme="minorHAnsi" w:hAnsiTheme="minorHAnsi" w:cstheme="minorHAnsi"/>
          <w:noProof/>
          <w:color w:val="FFFFFF" w:themeColor="background1"/>
          <w:sz w:val="44"/>
          <w:szCs w:val="44"/>
        </w:rPr>
        <mc:AlternateContent>
          <mc:Choice Requires="wps">
            <w:drawing>
              <wp:anchor distT="0" distB="0" distL="114300" distR="114300" simplePos="0" relativeHeight="251659264" behindDoc="1" locked="0" layoutInCell="1" allowOverlap="1" wp14:anchorId="40D4A19D" wp14:editId="3CD8DBCB">
                <wp:simplePos x="0" y="0"/>
                <wp:positionH relativeFrom="page">
                  <wp:align>right</wp:align>
                </wp:positionH>
                <wp:positionV relativeFrom="paragraph">
                  <wp:posOffset>-447675</wp:posOffset>
                </wp:positionV>
                <wp:extent cx="7743825" cy="2600325"/>
                <wp:effectExtent l="0" t="0" r="28575" b="28575"/>
                <wp:wrapNone/>
                <wp:docPr id="122385432" name="Rectangle 1"/>
                <wp:cNvGraphicFramePr/>
                <a:graphic xmlns:a="http://schemas.openxmlformats.org/drawingml/2006/main">
                  <a:graphicData uri="http://schemas.microsoft.com/office/word/2010/wordprocessingShape">
                    <wps:wsp>
                      <wps:cNvSpPr/>
                      <wps:spPr>
                        <a:xfrm>
                          <a:off x="0" y="0"/>
                          <a:ext cx="7743825" cy="2600325"/>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33B32" id="Rectangle 1" o:spid="_x0000_s1026" style="position:absolute;margin-left:558.55pt;margin-top:-35.25pt;width:609.75pt;height:204.7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" fillcolor="#034638" strokecolor="#09101d [484]" strokeweight="1pt">
                <w10:wrap anchorx="page"/>
              </v:rect>
            </w:pict>
          </mc:Fallback>
        </mc:AlternateContent>
      </w:r>
      <w:r w:rsidRPr="00C669C4">
        <w:rPr>
          <w:rFonts w:asciiTheme="minorHAnsi" w:hAnsiTheme="minorHAnsi" w:cstheme="minorHAnsi"/>
          <w:color w:val="FFFFFF" w:themeColor="background1"/>
          <w:sz w:val="44"/>
          <w:szCs w:val="44"/>
        </w:rPr>
        <w:t>Governance Tensions in MNCs’ Financial Reporting Quality</w:t>
      </w:r>
    </w:p>
    <w:p w14:paraId="3B235108" w14:textId="77777777" w:rsidR="00C669C4" w:rsidRDefault="00C669C4" w:rsidP="007502AB">
      <w:pPr>
        <w:rPr>
          <w:rFonts w:cstheme="minorHAnsi"/>
          <w:bCs/>
          <w:i/>
          <w:iCs/>
          <w:color w:val="FFFFFF" w:themeColor="background1"/>
          <w:sz w:val="22"/>
          <w:szCs w:val="22"/>
        </w:rPr>
      </w:pPr>
    </w:p>
    <w:p w14:paraId="6D21104D" w14:textId="7939D813" w:rsidR="000C0D39" w:rsidRDefault="000C0D39" w:rsidP="007502AB">
      <w:pPr>
        <w:rPr>
          <w:rFonts w:cstheme="minorHAnsi"/>
          <w:bCs/>
          <w:i/>
          <w:iCs/>
          <w:color w:val="FFFFFF" w:themeColor="background1"/>
          <w:sz w:val="22"/>
          <w:szCs w:val="22"/>
        </w:rPr>
      </w:pPr>
      <w:proofErr w:type="spellStart"/>
      <w:r w:rsidRPr="000C0D39">
        <w:rPr>
          <w:rFonts w:cstheme="minorHAnsi"/>
          <w:bCs/>
          <w:i/>
          <w:iCs/>
          <w:color w:val="FFFFFF" w:themeColor="background1"/>
          <w:sz w:val="22"/>
          <w:szCs w:val="22"/>
        </w:rPr>
        <w:t>Tiemei</w:t>
      </w:r>
      <w:proofErr w:type="spellEnd"/>
      <w:r w:rsidRPr="000C0D39">
        <w:rPr>
          <w:rFonts w:cstheme="minorHAnsi"/>
          <w:bCs/>
          <w:i/>
          <w:iCs/>
          <w:color w:val="FFFFFF" w:themeColor="background1"/>
          <w:sz w:val="22"/>
          <w:szCs w:val="22"/>
        </w:rPr>
        <w:t xml:space="preserve"> Li, Michel Magnan, Y Shi</w:t>
      </w:r>
    </w:p>
    <w:p w14:paraId="575F94B4" w14:textId="77777777" w:rsidR="00C669C4" w:rsidRDefault="00C669C4" w:rsidP="007502AB">
      <w:pPr>
        <w:rPr>
          <w:rFonts w:cstheme="minorHAnsi"/>
          <w:bCs/>
          <w:i/>
          <w:iCs/>
          <w:color w:val="FFFFFF" w:themeColor="background1"/>
          <w:sz w:val="22"/>
          <w:szCs w:val="22"/>
        </w:rPr>
      </w:pPr>
    </w:p>
    <w:p w14:paraId="5F072927" w14:textId="7C5B45B5" w:rsidR="000C0D39" w:rsidRPr="000C0D39" w:rsidRDefault="000C0D39" w:rsidP="007502AB">
      <w:pPr>
        <w:rPr>
          <w:rFonts w:cstheme="minorHAnsi"/>
          <w:bCs/>
          <w:i/>
          <w:iCs/>
          <w:color w:val="FFFFFF" w:themeColor="background1"/>
          <w:sz w:val="22"/>
          <w:szCs w:val="22"/>
        </w:rPr>
      </w:pPr>
      <w:r w:rsidRPr="000C0D39">
        <w:rPr>
          <w:rFonts w:cstheme="minorHAnsi"/>
          <w:bCs/>
          <w:i/>
          <w:iCs/>
          <w:color w:val="FFFFFF" w:themeColor="background1"/>
          <w:sz w:val="22"/>
          <w:szCs w:val="22"/>
        </w:rPr>
        <w:t>Journal of International Business Studies</w:t>
      </w:r>
      <w:r w:rsidR="00B95BE5">
        <w:rPr>
          <w:rFonts w:cstheme="minorHAnsi"/>
          <w:bCs/>
          <w:i/>
          <w:iCs/>
          <w:color w:val="FFFFFF" w:themeColor="background1"/>
          <w:sz w:val="22"/>
          <w:szCs w:val="22"/>
        </w:rPr>
        <w:t>, 2022</w:t>
      </w:r>
    </w:p>
    <w:p w14:paraId="295A43B2" w14:textId="77777777" w:rsidR="000318AC" w:rsidRDefault="000318AC" w:rsidP="007502AB">
      <w:pPr>
        <w:rPr>
          <w:rFonts w:cstheme="minorHAnsi"/>
          <w:b/>
          <w:sz w:val="28"/>
          <w:szCs w:val="28"/>
        </w:rPr>
      </w:pPr>
    </w:p>
    <w:p w14:paraId="6A2943E9" w14:textId="77777777" w:rsidR="000318AC" w:rsidRDefault="000318AC" w:rsidP="007502AB">
      <w:pPr>
        <w:rPr>
          <w:rFonts w:cstheme="minorHAnsi"/>
          <w:b/>
          <w:sz w:val="28"/>
          <w:szCs w:val="28"/>
        </w:rPr>
      </w:pPr>
    </w:p>
    <w:p w14:paraId="634574FF" w14:textId="77777777" w:rsidR="000318AC" w:rsidRDefault="000318AC" w:rsidP="007502AB">
      <w:pPr>
        <w:rPr>
          <w:rFonts w:cstheme="minorHAnsi"/>
          <w:b/>
          <w:sz w:val="28"/>
          <w:szCs w:val="28"/>
        </w:rPr>
      </w:pPr>
    </w:p>
    <w:p w14:paraId="59E0E852" w14:textId="77777777" w:rsidR="000318AC" w:rsidRDefault="000318AC" w:rsidP="007502AB">
      <w:pPr>
        <w:rPr>
          <w:rFonts w:cstheme="minorHAnsi"/>
          <w:b/>
          <w:sz w:val="28"/>
          <w:szCs w:val="28"/>
        </w:rPr>
      </w:pPr>
    </w:p>
    <w:p w14:paraId="7193B77B" w14:textId="77777777" w:rsidR="000318AC" w:rsidRDefault="000318AC" w:rsidP="007502AB">
      <w:pPr>
        <w:rPr>
          <w:rFonts w:cstheme="minorHAnsi"/>
          <w:b/>
          <w:sz w:val="28"/>
          <w:szCs w:val="28"/>
        </w:rPr>
      </w:pPr>
    </w:p>
    <w:p w14:paraId="511C7A14" w14:textId="39579FA1" w:rsidR="000C0A47" w:rsidRPr="000C0D39" w:rsidRDefault="00511CD8" w:rsidP="007502AB">
      <w:pPr>
        <w:rPr>
          <w:rFonts w:cstheme="minorHAnsi"/>
          <w:b/>
          <w:sz w:val="28"/>
          <w:szCs w:val="28"/>
        </w:rPr>
      </w:pPr>
      <w:r w:rsidRPr="000C0D39">
        <w:rPr>
          <w:rFonts w:cstheme="minorHAnsi"/>
          <w:b/>
          <w:sz w:val="28"/>
          <w:szCs w:val="28"/>
        </w:rPr>
        <w:t>Cross-</w:t>
      </w:r>
      <w:r w:rsidR="000C0A47" w:rsidRPr="000C0D39">
        <w:rPr>
          <w:rFonts w:cstheme="minorHAnsi"/>
          <w:b/>
          <w:sz w:val="28"/>
          <w:szCs w:val="28"/>
        </w:rPr>
        <w:t xml:space="preserve">listings, offshore financial </w:t>
      </w:r>
      <w:proofErr w:type="gramStart"/>
      <w:r w:rsidR="000C0A47" w:rsidRPr="000C0D39">
        <w:rPr>
          <w:rFonts w:cstheme="minorHAnsi"/>
          <w:b/>
          <w:sz w:val="28"/>
          <w:szCs w:val="28"/>
        </w:rPr>
        <w:t>centres</w:t>
      </w:r>
      <w:proofErr w:type="gramEnd"/>
      <w:r w:rsidR="000C0A47" w:rsidRPr="000C0D39">
        <w:rPr>
          <w:rFonts w:cstheme="minorHAnsi"/>
          <w:b/>
          <w:sz w:val="28"/>
          <w:szCs w:val="28"/>
        </w:rPr>
        <w:t xml:space="preserve"> and the impact on </w:t>
      </w:r>
      <w:r w:rsidR="00524CEC" w:rsidRPr="000C0D39">
        <w:rPr>
          <w:rFonts w:cstheme="minorHAnsi"/>
          <w:b/>
          <w:sz w:val="28"/>
          <w:szCs w:val="28"/>
        </w:rPr>
        <w:t xml:space="preserve">MNC </w:t>
      </w:r>
      <w:r w:rsidR="000C0A47" w:rsidRPr="000C0D39">
        <w:rPr>
          <w:rFonts w:cstheme="minorHAnsi"/>
          <w:b/>
          <w:sz w:val="28"/>
          <w:szCs w:val="28"/>
        </w:rPr>
        <w:t xml:space="preserve">accounting quality </w:t>
      </w:r>
    </w:p>
    <w:p w14:paraId="4481DBB1" w14:textId="7531DFF5" w:rsidR="007502AB" w:rsidRPr="000C0D39" w:rsidRDefault="008E5BA0" w:rsidP="007502AB">
      <w:pPr>
        <w:rPr>
          <w:rFonts w:cstheme="minorHAnsi"/>
          <w:sz w:val="22"/>
          <w:szCs w:val="22"/>
        </w:rPr>
      </w:pPr>
      <w:r w:rsidRPr="000C0D39">
        <w:rPr>
          <w:rFonts w:cstheme="minorHAnsi"/>
          <w:sz w:val="22"/>
          <w:szCs w:val="22"/>
        </w:rPr>
        <w:t>M</w:t>
      </w:r>
      <w:r w:rsidR="007502AB" w:rsidRPr="000C0D39">
        <w:rPr>
          <w:rFonts w:cstheme="minorHAnsi"/>
          <w:sz w:val="22"/>
          <w:szCs w:val="22"/>
        </w:rPr>
        <w:t>ultinational co</w:t>
      </w:r>
      <w:r w:rsidR="00524CEC" w:rsidRPr="000C0D39">
        <w:rPr>
          <w:rFonts w:cstheme="minorHAnsi"/>
          <w:sz w:val="22"/>
          <w:szCs w:val="22"/>
        </w:rPr>
        <w:t>rporations (MNCs)</w:t>
      </w:r>
      <w:r w:rsidR="007502AB" w:rsidRPr="000C0D39">
        <w:rPr>
          <w:rFonts w:cstheme="minorHAnsi"/>
          <w:sz w:val="22"/>
          <w:szCs w:val="22"/>
        </w:rPr>
        <w:t xml:space="preserve"> </w:t>
      </w:r>
      <w:r w:rsidR="00641146" w:rsidRPr="000C0D39">
        <w:rPr>
          <w:rFonts w:cstheme="minorHAnsi"/>
          <w:sz w:val="22"/>
          <w:szCs w:val="22"/>
        </w:rPr>
        <w:t>that cross</w:t>
      </w:r>
      <w:r w:rsidR="00511CD8" w:rsidRPr="000C0D39">
        <w:rPr>
          <w:rFonts w:cstheme="minorHAnsi"/>
          <w:sz w:val="22"/>
          <w:szCs w:val="22"/>
        </w:rPr>
        <w:t>-</w:t>
      </w:r>
      <w:r w:rsidR="00641146" w:rsidRPr="000C0D39">
        <w:rPr>
          <w:rFonts w:cstheme="minorHAnsi"/>
          <w:sz w:val="22"/>
          <w:szCs w:val="22"/>
        </w:rPr>
        <w:t xml:space="preserve">list in the U.S. </w:t>
      </w:r>
      <w:r w:rsidR="00524CEC" w:rsidRPr="000C0D39">
        <w:rPr>
          <w:rFonts w:cstheme="minorHAnsi"/>
          <w:sz w:val="22"/>
          <w:szCs w:val="22"/>
        </w:rPr>
        <w:t xml:space="preserve">— </w:t>
      </w:r>
      <w:r w:rsidR="00641146" w:rsidRPr="000C0D39">
        <w:rPr>
          <w:rFonts w:cstheme="minorHAnsi"/>
          <w:sz w:val="22"/>
          <w:szCs w:val="22"/>
        </w:rPr>
        <w:t xml:space="preserve">and </w:t>
      </w:r>
      <w:r w:rsidR="00FF7F2B" w:rsidRPr="000C0D39">
        <w:rPr>
          <w:rFonts w:cstheme="minorHAnsi"/>
          <w:sz w:val="22"/>
          <w:szCs w:val="22"/>
        </w:rPr>
        <w:t xml:space="preserve">which </w:t>
      </w:r>
      <w:r w:rsidR="00641146" w:rsidRPr="000C0D39">
        <w:rPr>
          <w:rFonts w:cstheme="minorHAnsi"/>
          <w:sz w:val="22"/>
          <w:szCs w:val="22"/>
        </w:rPr>
        <w:t>use</w:t>
      </w:r>
      <w:r w:rsidR="007502AB" w:rsidRPr="000C0D39">
        <w:rPr>
          <w:rFonts w:cstheme="minorHAnsi"/>
          <w:sz w:val="22"/>
          <w:szCs w:val="22"/>
        </w:rPr>
        <w:t xml:space="preserve"> offshore financial centres </w:t>
      </w:r>
      <w:r w:rsidR="001806FF" w:rsidRPr="000C0D39">
        <w:rPr>
          <w:rFonts w:cstheme="minorHAnsi"/>
          <w:sz w:val="22"/>
          <w:szCs w:val="22"/>
        </w:rPr>
        <w:t>(OFCs)</w:t>
      </w:r>
      <w:r w:rsidR="00641146" w:rsidRPr="000C0D39">
        <w:rPr>
          <w:rFonts w:cstheme="minorHAnsi"/>
          <w:sz w:val="22"/>
          <w:szCs w:val="22"/>
        </w:rPr>
        <w:t xml:space="preserve"> </w:t>
      </w:r>
      <w:r w:rsidR="00524CEC" w:rsidRPr="000C0D39">
        <w:rPr>
          <w:rFonts w:cstheme="minorHAnsi"/>
          <w:sz w:val="22"/>
          <w:szCs w:val="22"/>
        </w:rPr>
        <w:t xml:space="preserve">— </w:t>
      </w:r>
      <w:r w:rsidR="007502AB" w:rsidRPr="000C0D39">
        <w:rPr>
          <w:rFonts w:cstheme="minorHAnsi"/>
          <w:sz w:val="22"/>
          <w:szCs w:val="22"/>
        </w:rPr>
        <w:t xml:space="preserve">have a greater likelihood that their financial reporting </w:t>
      </w:r>
      <w:r w:rsidR="00AD3FCF" w:rsidRPr="000C0D39">
        <w:rPr>
          <w:rFonts w:cstheme="minorHAnsi"/>
          <w:sz w:val="22"/>
          <w:szCs w:val="22"/>
        </w:rPr>
        <w:t>quality</w:t>
      </w:r>
      <w:r w:rsidR="007502AB" w:rsidRPr="000C0D39">
        <w:rPr>
          <w:rFonts w:cstheme="minorHAnsi"/>
          <w:sz w:val="22"/>
          <w:szCs w:val="22"/>
        </w:rPr>
        <w:t xml:space="preserve"> will be lower than </w:t>
      </w:r>
      <w:r w:rsidRPr="000C0D39">
        <w:rPr>
          <w:rFonts w:cstheme="minorHAnsi"/>
          <w:sz w:val="22"/>
          <w:szCs w:val="22"/>
        </w:rPr>
        <w:t>cross</w:t>
      </w:r>
      <w:r w:rsidR="00511CD8" w:rsidRPr="000C0D39">
        <w:rPr>
          <w:rFonts w:cstheme="minorHAnsi"/>
          <w:sz w:val="22"/>
          <w:szCs w:val="22"/>
        </w:rPr>
        <w:t>-</w:t>
      </w:r>
      <w:r w:rsidRPr="000C0D39">
        <w:rPr>
          <w:rFonts w:cstheme="minorHAnsi"/>
          <w:sz w:val="22"/>
          <w:szCs w:val="22"/>
        </w:rPr>
        <w:t xml:space="preserve">listing </w:t>
      </w:r>
      <w:r w:rsidR="007502AB" w:rsidRPr="000C0D39">
        <w:rPr>
          <w:rFonts w:cstheme="minorHAnsi"/>
          <w:sz w:val="22"/>
          <w:szCs w:val="22"/>
        </w:rPr>
        <w:t xml:space="preserve">counterparts </w:t>
      </w:r>
      <w:r w:rsidRPr="000C0D39">
        <w:rPr>
          <w:rFonts w:cstheme="minorHAnsi"/>
          <w:sz w:val="22"/>
          <w:szCs w:val="22"/>
        </w:rPr>
        <w:t>that</w:t>
      </w:r>
      <w:r w:rsidR="007502AB" w:rsidRPr="000C0D39">
        <w:rPr>
          <w:rFonts w:cstheme="minorHAnsi"/>
          <w:sz w:val="22"/>
          <w:szCs w:val="22"/>
        </w:rPr>
        <w:t xml:space="preserve"> don’t </w:t>
      </w:r>
      <w:r w:rsidR="00524CEC" w:rsidRPr="000C0D39">
        <w:rPr>
          <w:rFonts w:cstheme="minorHAnsi"/>
          <w:sz w:val="22"/>
          <w:szCs w:val="22"/>
        </w:rPr>
        <w:t>resort to such</w:t>
      </w:r>
      <w:r w:rsidR="00FF7F2B" w:rsidRPr="000C0D39">
        <w:rPr>
          <w:rFonts w:cstheme="minorHAnsi"/>
          <w:sz w:val="22"/>
          <w:szCs w:val="22"/>
        </w:rPr>
        <w:t xml:space="preserve"> </w:t>
      </w:r>
      <w:r w:rsidR="007502AB" w:rsidRPr="000C0D39">
        <w:rPr>
          <w:rFonts w:cstheme="minorHAnsi"/>
          <w:sz w:val="22"/>
          <w:szCs w:val="22"/>
        </w:rPr>
        <w:t>structure</w:t>
      </w:r>
      <w:r w:rsidR="005F7A5D" w:rsidRPr="000C0D39">
        <w:rPr>
          <w:rFonts w:cstheme="minorHAnsi"/>
          <w:sz w:val="22"/>
          <w:szCs w:val="22"/>
        </w:rPr>
        <w:t>s</w:t>
      </w:r>
      <w:r w:rsidR="007502AB" w:rsidRPr="000C0D39">
        <w:rPr>
          <w:rFonts w:cstheme="minorHAnsi"/>
          <w:sz w:val="22"/>
          <w:szCs w:val="22"/>
        </w:rPr>
        <w:t xml:space="preserve">, according to a </w:t>
      </w:r>
      <w:r w:rsidR="005656A8" w:rsidRPr="000C0D39">
        <w:rPr>
          <w:rFonts w:cstheme="minorHAnsi"/>
          <w:sz w:val="22"/>
          <w:szCs w:val="22"/>
        </w:rPr>
        <w:t xml:space="preserve">recent accounting </w:t>
      </w:r>
      <w:r w:rsidR="007502AB" w:rsidRPr="000C0D39">
        <w:rPr>
          <w:rFonts w:cstheme="minorHAnsi"/>
          <w:sz w:val="22"/>
          <w:szCs w:val="22"/>
        </w:rPr>
        <w:t>study</w:t>
      </w:r>
      <w:r w:rsidR="005656A8" w:rsidRPr="000C0D39">
        <w:rPr>
          <w:rFonts w:cstheme="minorHAnsi"/>
          <w:sz w:val="22"/>
          <w:szCs w:val="22"/>
        </w:rPr>
        <w:t xml:space="preserve"> from a group of business professors.</w:t>
      </w:r>
    </w:p>
    <w:p w14:paraId="44D5E0C1" w14:textId="7E5C65F4" w:rsidR="007502AB" w:rsidRPr="000C0D39" w:rsidRDefault="007502AB" w:rsidP="007502AB">
      <w:pPr>
        <w:rPr>
          <w:rFonts w:cstheme="minorHAnsi"/>
          <w:sz w:val="22"/>
          <w:szCs w:val="22"/>
        </w:rPr>
      </w:pPr>
      <w:r w:rsidRPr="000C0D39">
        <w:rPr>
          <w:rFonts w:cstheme="minorHAnsi"/>
          <w:sz w:val="22"/>
          <w:szCs w:val="22"/>
        </w:rPr>
        <w:t xml:space="preserve">It’s </w:t>
      </w:r>
      <w:r w:rsidR="005656A8" w:rsidRPr="000C0D39">
        <w:rPr>
          <w:rFonts w:cstheme="minorHAnsi"/>
          <w:sz w:val="22"/>
          <w:szCs w:val="22"/>
        </w:rPr>
        <w:t xml:space="preserve">noteworthy </w:t>
      </w:r>
      <w:r w:rsidRPr="000C0D39">
        <w:rPr>
          <w:rFonts w:cstheme="minorHAnsi"/>
          <w:sz w:val="22"/>
          <w:szCs w:val="22"/>
        </w:rPr>
        <w:t xml:space="preserve">research that </w:t>
      </w:r>
      <w:r w:rsidR="001806FF" w:rsidRPr="000C0D39">
        <w:rPr>
          <w:rFonts w:cstheme="minorHAnsi"/>
          <w:sz w:val="22"/>
          <w:szCs w:val="22"/>
        </w:rPr>
        <w:t xml:space="preserve">examines the </w:t>
      </w:r>
      <w:r w:rsidR="00641146" w:rsidRPr="000C0D39">
        <w:rPr>
          <w:rFonts w:cstheme="minorHAnsi"/>
          <w:sz w:val="22"/>
          <w:szCs w:val="22"/>
        </w:rPr>
        <w:t xml:space="preserve">impact that the </w:t>
      </w:r>
      <w:r w:rsidR="001806FF" w:rsidRPr="000C0D39">
        <w:rPr>
          <w:rFonts w:cstheme="minorHAnsi"/>
          <w:sz w:val="22"/>
          <w:szCs w:val="22"/>
        </w:rPr>
        <w:t xml:space="preserve">complex and opaque world of offshore financial centres </w:t>
      </w:r>
      <w:r w:rsidR="00641146" w:rsidRPr="000C0D39">
        <w:rPr>
          <w:rFonts w:cstheme="minorHAnsi"/>
          <w:sz w:val="22"/>
          <w:szCs w:val="22"/>
        </w:rPr>
        <w:t xml:space="preserve">has on </w:t>
      </w:r>
      <w:r w:rsidR="00FF7F2B" w:rsidRPr="000C0D39">
        <w:rPr>
          <w:rFonts w:cstheme="minorHAnsi"/>
          <w:sz w:val="22"/>
          <w:szCs w:val="22"/>
        </w:rPr>
        <w:t xml:space="preserve">the quality of </w:t>
      </w:r>
      <w:r w:rsidR="00641146" w:rsidRPr="000C0D39">
        <w:rPr>
          <w:rFonts w:cstheme="minorHAnsi"/>
          <w:sz w:val="22"/>
          <w:szCs w:val="22"/>
        </w:rPr>
        <w:t xml:space="preserve">financial reporting </w:t>
      </w:r>
      <w:r w:rsidR="001806FF" w:rsidRPr="000C0D39">
        <w:rPr>
          <w:rFonts w:cstheme="minorHAnsi"/>
          <w:sz w:val="22"/>
          <w:szCs w:val="22"/>
        </w:rPr>
        <w:t xml:space="preserve">and </w:t>
      </w:r>
      <w:r w:rsidRPr="000C0D39">
        <w:rPr>
          <w:rFonts w:cstheme="minorHAnsi"/>
          <w:sz w:val="22"/>
          <w:szCs w:val="22"/>
        </w:rPr>
        <w:t xml:space="preserve">should attract the attention </w:t>
      </w:r>
      <w:r w:rsidR="005656A8" w:rsidRPr="000C0D39">
        <w:rPr>
          <w:rFonts w:cstheme="minorHAnsi"/>
          <w:sz w:val="22"/>
          <w:szCs w:val="22"/>
        </w:rPr>
        <w:t>not only of retail and institutional investors,</w:t>
      </w:r>
      <w:r w:rsidRPr="000C0D39">
        <w:rPr>
          <w:rFonts w:cstheme="minorHAnsi"/>
          <w:sz w:val="22"/>
          <w:szCs w:val="22"/>
        </w:rPr>
        <w:t xml:space="preserve"> </w:t>
      </w:r>
      <w:r w:rsidR="005656A8" w:rsidRPr="000C0D39">
        <w:rPr>
          <w:rFonts w:cstheme="minorHAnsi"/>
          <w:sz w:val="22"/>
          <w:szCs w:val="22"/>
        </w:rPr>
        <w:t>but</w:t>
      </w:r>
      <w:r w:rsidRPr="000C0D39">
        <w:rPr>
          <w:rFonts w:cstheme="minorHAnsi"/>
          <w:sz w:val="22"/>
          <w:szCs w:val="22"/>
        </w:rPr>
        <w:t xml:space="preserve"> accounting and security market regulators.</w:t>
      </w:r>
    </w:p>
    <w:p w14:paraId="6AFB7080" w14:textId="77777777" w:rsidR="007502AB" w:rsidRPr="000C0A47" w:rsidRDefault="007502AB">
      <w:pPr>
        <w:rPr>
          <w:rFonts w:cstheme="minorHAnsi"/>
        </w:rPr>
      </w:pPr>
    </w:p>
    <w:p w14:paraId="6CA7FE11" w14:textId="1CEA7C4D" w:rsidR="007502AB" w:rsidRPr="000C0D39" w:rsidRDefault="00F00905">
      <w:pPr>
        <w:rPr>
          <w:rFonts w:cstheme="minorHAnsi"/>
          <w:b/>
          <w:bCs/>
          <w:sz w:val="28"/>
          <w:szCs w:val="28"/>
        </w:rPr>
      </w:pPr>
      <w:r w:rsidRPr="000C0D39">
        <w:rPr>
          <w:rFonts w:cstheme="minorHAnsi"/>
          <w:b/>
          <w:bCs/>
          <w:sz w:val="28"/>
          <w:szCs w:val="28"/>
        </w:rPr>
        <w:t>The Study</w:t>
      </w:r>
    </w:p>
    <w:p w14:paraId="1C64A537" w14:textId="39C03E66" w:rsidR="001806FF" w:rsidRPr="000C0D39" w:rsidRDefault="001806FF" w:rsidP="001806FF">
      <w:pPr>
        <w:rPr>
          <w:rFonts w:cstheme="minorHAnsi"/>
          <w:sz w:val="22"/>
          <w:szCs w:val="22"/>
        </w:rPr>
      </w:pPr>
      <w:r w:rsidRPr="000C0D39">
        <w:rPr>
          <w:rFonts w:cstheme="minorHAnsi"/>
          <w:sz w:val="22"/>
          <w:szCs w:val="22"/>
        </w:rPr>
        <w:t xml:space="preserve">Entitled </w:t>
      </w:r>
      <w:r w:rsidRPr="000C0D39">
        <w:rPr>
          <w:rFonts w:cstheme="minorHAnsi"/>
          <w:i/>
          <w:iCs/>
          <w:sz w:val="22"/>
          <w:szCs w:val="22"/>
        </w:rPr>
        <w:t>Governance Tension in Financial Reporting Quality</w:t>
      </w:r>
      <w:r w:rsidRPr="000C0D39">
        <w:rPr>
          <w:rFonts w:cstheme="minorHAnsi"/>
          <w:sz w:val="22"/>
          <w:szCs w:val="22"/>
        </w:rPr>
        <w:t xml:space="preserve">, the </w:t>
      </w:r>
      <w:r w:rsidR="008E5BA0" w:rsidRPr="000C0D39">
        <w:rPr>
          <w:rFonts w:cstheme="minorHAnsi"/>
          <w:sz w:val="22"/>
          <w:szCs w:val="22"/>
        </w:rPr>
        <w:t>study</w:t>
      </w:r>
      <w:r w:rsidRPr="000C0D39">
        <w:rPr>
          <w:rFonts w:cstheme="minorHAnsi"/>
          <w:sz w:val="22"/>
          <w:szCs w:val="22"/>
        </w:rPr>
        <w:t xml:space="preserve"> by professors Tiemi Li at the Telfer School of Management at the University of Ottawa, Michael </w:t>
      </w:r>
      <w:proofErr w:type="gramStart"/>
      <w:r w:rsidRPr="000C0D39">
        <w:rPr>
          <w:rFonts w:cstheme="minorHAnsi"/>
          <w:sz w:val="22"/>
          <w:szCs w:val="22"/>
        </w:rPr>
        <w:t>Magnan,  at</w:t>
      </w:r>
      <w:proofErr w:type="gramEnd"/>
      <w:r w:rsidRPr="000C0D39">
        <w:rPr>
          <w:rFonts w:cstheme="minorHAnsi"/>
          <w:sz w:val="22"/>
          <w:szCs w:val="22"/>
        </w:rPr>
        <w:t xml:space="preserve"> the John Molson School of Business at Concordia University and Yaqi Shi of  </w:t>
      </w:r>
      <w:r w:rsidR="004D3C1E" w:rsidRPr="000C0D39">
        <w:rPr>
          <w:rFonts w:cstheme="minorHAnsi"/>
          <w:sz w:val="22"/>
          <w:szCs w:val="22"/>
        </w:rPr>
        <w:t xml:space="preserve">the </w:t>
      </w:r>
      <w:r w:rsidRPr="000C0D39">
        <w:rPr>
          <w:rFonts w:cstheme="minorHAnsi"/>
          <w:sz w:val="22"/>
          <w:szCs w:val="22"/>
        </w:rPr>
        <w:t xml:space="preserve">Ivey Business School at Western University, </w:t>
      </w:r>
      <w:r w:rsidR="00DE1486" w:rsidRPr="000C0D39">
        <w:rPr>
          <w:rFonts w:cstheme="minorHAnsi"/>
          <w:sz w:val="22"/>
          <w:szCs w:val="22"/>
        </w:rPr>
        <w:t>tests</w:t>
      </w:r>
      <w:r w:rsidRPr="000C0D39">
        <w:rPr>
          <w:rFonts w:cstheme="minorHAnsi"/>
          <w:sz w:val="22"/>
          <w:szCs w:val="22"/>
        </w:rPr>
        <w:t xml:space="preserve"> </w:t>
      </w:r>
      <w:r w:rsidR="00641146" w:rsidRPr="000C0D39">
        <w:rPr>
          <w:rFonts w:cstheme="minorHAnsi"/>
          <w:sz w:val="22"/>
          <w:szCs w:val="22"/>
        </w:rPr>
        <w:t xml:space="preserve">both the </w:t>
      </w:r>
      <w:r w:rsidRPr="000C0D39">
        <w:rPr>
          <w:rFonts w:cstheme="minorHAnsi"/>
          <w:sz w:val="22"/>
          <w:szCs w:val="22"/>
        </w:rPr>
        <w:t xml:space="preserve">corporate governance </w:t>
      </w:r>
      <w:r w:rsidR="00DE1486" w:rsidRPr="000C0D39">
        <w:rPr>
          <w:rFonts w:cstheme="minorHAnsi"/>
          <w:sz w:val="22"/>
          <w:szCs w:val="22"/>
        </w:rPr>
        <w:t xml:space="preserve">bonding theory </w:t>
      </w:r>
      <w:r w:rsidRPr="000C0D39">
        <w:rPr>
          <w:rFonts w:cstheme="minorHAnsi"/>
          <w:sz w:val="22"/>
          <w:szCs w:val="22"/>
        </w:rPr>
        <w:t xml:space="preserve">and </w:t>
      </w:r>
      <w:r w:rsidR="00DE1486" w:rsidRPr="000C0D39">
        <w:rPr>
          <w:rFonts w:cstheme="minorHAnsi"/>
          <w:sz w:val="22"/>
          <w:szCs w:val="22"/>
        </w:rPr>
        <w:t xml:space="preserve">corporate governance </w:t>
      </w:r>
      <w:r w:rsidRPr="000C0D39">
        <w:rPr>
          <w:rFonts w:cstheme="minorHAnsi"/>
          <w:sz w:val="22"/>
          <w:szCs w:val="22"/>
        </w:rPr>
        <w:t>arbitrage theory to investigate how offshore financial centres impact financial accounting quality.</w:t>
      </w:r>
    </w:p>
    <w:p w14:paraId="4C55E4F8" w14:textId="77777777" w:rsidR="00DE1486" w:rsidRPr="000C0D39" w:rsidRDefault="00DE1486" w:rsidP="001806FF">
      <w:pPr>
        <w:rPr>
          <w:rFonts w:cstheme="minorHAnsi"/>
          <w:sz w:val="22"/>
          <w:szCs w:val="22"/>
        </w:rPr>
      </w:pPr>
    </w:p>
    <w:p w14:paraId="2C6F1DB5" w14:textId="12560962" w:rsidR="00DE1486" w:rsidRPr="000C0D39" w:rsidRDefault="00DE1486" w:rsidP="00DE1486">
      <w:pPr>
        <w:rPr>
          <w:rFonts w:cstheme="minorHAnsi"/>
          <w:sz w:val="22"/>
          <w:szCs w:val="22"/>
        </w:rPr>
      </w:pPr>
      <w:r w:rsidRPr="000C0D39">
        <w:rPr>
          <w:rFonts w:cstheme="minorHAnsi"/>
          <w:sz w:val="22"/>
          <w:szCs w:val="22"/>
        </w:rPr>
        <w:t xml:space="preserve">Corporate governance bonding theory surmises that </w:t>
      </w:r>
      <w:r w:rsidR="00641146" w:rsidRPr="000C0D39">
        <w:rPr>
          <w:rFonts w:cstheme="minorHAnsi"/>
          <w:sz w:val="22"/>
          <w:szCs w:val="22"/>
        </w:rPr>
        <w:t xml:space="preserve">a U.S. </w:t>
      </w:r>
      <w:r w:rsidRPr="000C0D39">
        <w:rPr>
          <w:rFonts w:cstheme="minorHAnsi"/>
          <w:sz w:val="22"/>
          <w:szCs w:val="22"/>
        </w:rPr>
        <w:t>cross</w:t>
      </w:r>
      <w:r w:rsidR="00511CD8" w:rsidRPr="000C0D39">
        <w:rPr>
          <w:rFonts w:cstheme="minorHAnsi"/>
          <w:sz w:val="22"/>
          <w:szCs w:val="22"/>
        </w:rPr>
        <w:t>-</w:t>
      </w:r>
      <w:r w:rsidRPr="000C0D39">
        <w:rPr>
          <w:rFonts w:cstheme="minorHAnsi"/>
          <w:sz w:val="22"/>
          <w:szCs w:val="22"/>
        </w:rPr>
        <w:t xml:space="preserve">listing benefits </w:t>
      </w:r>
      <w:r w:rsidR="00641146" w:rsidRPr="000C0D39">
        <w:rPr>
          <w:rFonts w:cstheme="minorHAnsi"/>
          <w:sz w:val="22"/>
          <w:szCs w:val="22"/>
        </w:rPr>
        <w:t xml:space="preserve">a </w:t>
      </w:r>
      <w:r w:rsidRPr="000C0D39">
        <w:rPr>
          <w:rFonts w:cstheme="minorHAnsi"/>
          <w:sz w:val="22"/>
          <w:szCs w:val="22"/>
        </w:rPr>
        <w:t>corporation by reducing opaque information asymmetry and contributes to higher accounting quality</w:t>
      </w:r>
      <w:r w:rsidR="00641146" w:rsidRPr="000C0D39">
        <w:rPr>
          <w:rFonts w:cstheme="minorHAnsi"/>
          <w:sz w:val="22"/>
          <w:szCs w:val="22"/>
        </w:rPr>
        <w:t xml:space="preserve">, </w:t>
      </w:r>
      <w:r w:rsidR="00400A68" w:rsidRPr="000C0D39">
        <w:rPr>
          <w:rFonts w:cstheme="minorHAnsi"/>
          <w:sz w:val="22"/>
          <w:szCs w:val="22"/>
        </w:rPr>
        <w:t xml:space="preserve">thanks to an enhanced legal </w:t>
      </w:r>
      <w:r w:rsidR="00F86F99" w:rsidRPr="000C0D39">
        <w:rPr>
          <w:rFonts w:cstheme="minorHAnsi"/>
          <w:sz w:val="22"/>
          <w:szCs w:val="22"/>
        </w:rPr>
        <w:t xml:space="preserve">and regulatory </w:t>
      </w:r>
      <w:r w:rsidR="00400A68" w:rsidRPr="000C0D39">
        <w:rPr>
          <w:rFonts w:cstheme="minorHAnsi"/>
          <w:sz w:val="22"/>
          <w:szCs w:val="22"/>
        </w:rPr>
        <w:t>regime</w:t>
      </w:r>
      <w:r w:rsidR="00F86F99" w:rsidRPr="000C0D39">
        <w:rPr>
          <w:rFonts w:cstheme="minorHAnsi"/>
          <w:sz w:val="22"/>
          <w:szCs w:val="22"/>
        </w:rPr>
        <w:t>, and more</w:t>
      </w:r>
      <w:r w:rsidR="00400A68" w:rsidRPr="000C0D39">
        <w:rPr>
          <w:rFonts w:cstheme="minorHAnsi"/>
          <w:sz w:val="22"/>
          <w:szCs w:val="22"/>
        </w:rPr>
        <w:t xml:space="preserve"> transparent practices.</w:t>
      </w:r>
    </w:p>
    <w:p w14:paraId="1EA83588" w14:textId="77777777" w:rsidR="00400A68" w:rsidRPr="000C0D39" w:rsidRDefault="00400A68" w:rsidP="00DE1486">
      <w:pPr>
        <w:rPr>
          <w:rFonts w:cstheme="minorHAnsi"/>
          <w:sz w:val="22"/>
          <w:szCs w:val="22"/>
        </w:rPr>
      </w:pPr>
    </w:p>
    <w:p w14:paraId="448B95CF" w14:textId="11B3D839" w:rsidR="00DE1486" w:rsidRPr="000C0D39" w:rsidRDefault="007B64CF" w:rsidP="00DE1486">
      <w:pPr>
        <w:rPr>
          <w:rFonts w:cstheme="minorHAnsi"/>
          <w:sz w:val="22"/>
          <w:szCs w:val="22"/>
        </w:rPr>
      </w:pPr>
      <w:r w:rsidRPr="000C0D39">
        <w:rPr>
          <w:rFonts w:cstheme="minorHAnsi"/>
          <w:sz w:val="22"/>
          <w:szCs w:val="22"/>
        </w:rPr>
        <w:t xml:space="preserve">Contrast </w:t>
      </w:r>
      <w:proofErr w:type="gramStart"/>
      <w:r w:rsidRPr="000C0D39">
        <w:rPr>
          <w:rFonts w:cstheme="minorHAnsi"/>
          <w:sz w:val="22"/>
          <w:szCs w:val="22"/>
        </w:rPr>
        <w:t>that</w:t>
      </w:r>
      <w:r w:rsidR="005F7A5D" w:rsidRPr="000C0D39">
        <w:rPr>
          <w:rFonts w:cstheme="minorHAnsi"/>
          <w:sz w:val="22"/>
          <w:szCs w:val="22"/>
        </w:rPr>
        <w:t xml:space="preserve">  with</w:t>
      </w:r>
      <w:proofErr w:type="gramEnd"/>
      <w:r w:rsidR="005F7A5D" w:rsidRPr="000C0D39">
        <w:rPr>
          <w:rFonts w:cstheme="minorHAnsi"/>
          <w:sz w:val="22"/>
          <w:szCs w:val="22"/>
        </w:rPr>
        <w:t xml:space="preserve"> c</w:t>
      </w:r>
      <w:r w:rsidR="00DE1486" w:rsidRPr="000C0D39">
        <w:rPr>
          <w:rFonts w:cstheme="minorHAnsi"/>
          <w:sz w:val="22"/>
          <w:szCs w:val="22"/>
        </w:rPr>
        <w:t>orporate governance arbitrage theory</w:t>
      </w:r>
      <w:r w:rsidR="005F7A5D" w:rsidRPr="000C0D39">
        <w:rPr>
          <w:rFonts w:cstheme="minorHAnsi"/>
          <w:sz w:val="22"/>
          <w:szCs w:val="22"/>
        </w:rPr>
        <w:t xml:space="preserve">, which </w:t>
      </w:r>
      <w:r w:rsidR="00400A68" w:rsidRPr="000C0D39">
        <w:rPr>
          <w:rFonts w:cstheme="minorHAnsi"/>
          <w:sz w:val="22"/>
          <w:szCs w:val="22"/>
        </w:rPr>
        <w:t xml:space="preserve">surmises that </w:t>
      </w:r>
      <w:r w:rsidR="005F7A5D" w:rsidRPr="000C0D39">
        <w:rPr>
          <w:rFonts w:cstheme="minorHAnsi"/>
          <w:sz w:val="22"/>
          <w:szCs w:val="22"/>
        </w:rPr>
        <w:t>companies look to gain an edge by utilizing less stringent legal or financial regimes to avoid governance requirements.</w:t>
      </w:r>
    </w:p>
    <w:p w14:paraId="5CC2C6CE" w14:textId="77777777" w:rsidR="00DE1486" w:rsidRPr="000C0D39" w:rsidRDefault="00DE1486" w:rsidP="001806FF">
      <w:pPr>
        <w:rPr>
          <w:rFonts w:cstheme="minorHAnsi"/>
          <w:sz w:val="22"/>
          <w:szCs w:val="22"/>
        </w:rPr>
      </w:pPr>
    </w:p>
    <w:p w14:paraId="761D3F64" w14:textId="2725EA96" w:rsidR="00391B04" w:rsidRPr="000C0D39" w:rsidRDefault="004D3C1E">
      <w:pPr>
        <w:rPr>
          <w:rFonts w:cstheme="minorHAnsi"/>
          <w:sz w:val="22"/>
          <w:szCs w:val="22"/>
        </w:rPr>
      </w:pPr>
      <w:r w:rsidRPr="000C0D39">
        <w:rPr>
          <w:rFonts w:cstheme="minorHAnsi"/>
          <w:sz w:val="22"/>
          <w:szCs w:val="22"/>
        </w:rPr>
        <w:t xml:space="preserve">The academics </w:t>
      </w:r>
      <w:r w:rsidR="00391B04" w:rsidRPr="000C0D39">
        <w:rPr>
          <w:rFonts w:cstheme="minorHAnsi"/>
          <w:sz w:val="22"/>
          <w:szCs w:val="22"/>
        </w:rPr>
        <w:t>wanted to examine whether accounting quality was impacted by cross</w:t>
      </w:r>
      <w:r w:rsidR="00511CD8" w:rsidRPr="000C0D39">
        <w:rPr>
          <w:rFonts w:cstheme="minorHAnsi"/>
          <w:sz w:val="22"/>
          <w:szCs w:val="22"/>
        </w:rPr>
        <w:t>-</w:t>
      </w:r>
      <w:r w:rsidR="00391B04" w:rsidRPr="000C0D39">
        <w:rPr>
          <w:rFonts w:cstheme="minorHAnsi"/>
          <w:sz w:val="22"/>
          <w:szCs w:val="22"/>
        </w:rPr>
        <w:t xml:space="preserve">listing and whether the use of an OFC had any impact on accounting quality. </w:t>
      </w:r>
    </w:p>
    <w:p w14:paraId="2A90F244" w14:textId="14845601" w:rsidR="00391B04" w:rsidRPr="000C0D39" w:rsidRDefault="00391B04">
      <w:pPr>
        <w:rPr>
          <w:rFonts w:cstheme="minorHAnsi"/>
          <w:sz w:val="22"/>
          <w:szCs w:val="22"/>
        </w:rPr>
      </w:pPr>
    </w:p>
    <w:p w14:paraId="191EBD71" w14:textId="01FAD5B3" w:rsidR="00391B04" w:rsidRPr="000C0D39" w:rsidRDefault="00391B04">
      <w:pPr>
        <w:rPr>
          <w:rFonts w:cstheme="minorHAnsi"/>
          <w:sz w:val="22"/>
          <w:szCs w:val="22"/>
        </w:rPr>
      </w:pPr>
      <w:r w:rsidRPr="000C0D39">
        <w:rPr>
          <w:rFonts w:cstheme="minorHAnsi"/>
          <w:sz w:val="22"/>
          <w:szCs w:val="22"/>
        </w:rPr>
        <w:t>To do so, they turned to</w:t>
      </w:r>
      <w:r w:rsidR="004D3C1E" w:rsidRPr="000C0D39">
        <w:rPr>
          <w:rFonts w:cstheme="minorHAnsi"/>
          <w:sz w:val="22"/>
          <w:szCs w:val="22"/>
        </w:rPr>
        <w:t xml:space="preserve"> the </w:t>
      </w:r>
      <w:r w:rsidR="00B32508" w:rsidRPr="000C0D39">
        <w:rPr>
          <w:rFonts w:cstheme="minorHAnsi"/>
          <w:sz w:val="22"/>
          <w:szCs w:val="22"/>
        </w:rPr>
        <w:t xml:space="preserve">comprehensive </w:t>
      </w:r>
      <w:r w:rsidR="004D3C1E" w:rsidRPr="000C0D39">
        <w:rPr>
          <w:rFonts w:cstheme="minorHAnsi"/>
          <w:sz w:val="22"/>
          <w:szCs w:val="22"/>
        </w:rPr>
        <w:t xml:space="preserve">OSIRIS data service, which tracks more than 80,000 listed </w:t>
      </w:r>
      <w:r w:rsidR="007B64CF" w:rsidRPr="000C0D39">
        <w:rPr>
          <w:rFonts w:cstheme="minorHAnsi"/>
          <w:sz w:val="22"/>
          <w:szCs w:val="22"/>
        </w:rPr>
        <w:t xml:space="preserve">(and de-listed) </w:t>
      </w:r>
      <w:r w:rsidR="004D3C1E" w:rsidRPr="000C0D39">
        <w:rPr>
          <w:rFonts w:cstheme="minorHAnsi"/>
          <w:sz w:val="22"/>
          <w:szCs w:val="22"/>
        </w:rPr>
        <w:t xml:space="preserve">companies from around the </w:t>
      </w:r>
      <w:r w:rsidR="007B64CF" w:rsidRPr="000C0D39">
        <w:rPr>
          <w:rFonts w:cstheme="minorHAnsi"/>
          <w:sz w:val="22"/>
          <w:szCs w:val="22"/>
        </w:rPr>
        <w:t>world</w:t>
      </w:r>
      <w:r w:rsidR="005453EF" w:rsidRPr="000C0D39">
        <w:rPr>
          <w:rFonts w:cstheme="minorHAnsi"/>
          <w:sz w:val="22"/>
          <w:szCs w:val="22"/>
        </w:rPr>
        <w:t xml:space="preserve"> to draw </w:t>
      </w:r>
      <w:r w:rsidRPr="000C0D39">
        <w:rPr>
          <w:rFonts w:cstheme="minorHAnsi"/>
          <w:sz w:val="22"/>
          <w:szCs w:val="22"/>
        </w:rPr>
        <w:t>a</w:t>
      </w:r>
      <w:r w:rsidR="005453EF" w:rsidRPr="000C0D39">
        <w:rPr>
          <w:rFonts w:cstheme="minorHAnsi"/>
          <w:sz w:val="22"/>
          <w:szCs w:val="22"/>
        </w:rPr>
        <w:t xml:space="preserve"> sample</w:t>
      </w:r>
      <w:r w:rsidRPr="000C0D39">
        <w:rPr>
          <w:rFonts w:cstheme="minorHAnsi"/>
          <w:sz w:val="22"/>
          <w:szCs w:val="22"/>
        </w:rPr>
        <w:t xml:space="preserve"> of multinational corporations</w:t>
      </w:r>
      <w:r w:rsidR="005453EF" w:rsidRPr="000C0D39">
        <w:rPr>
          <w:rFonts w:cstheme="minorHAnsi"/>
          <w:sz w:val="22"/>
          <w:szCs w:val="22"/>
        </w:rPr>
        <w:t xml:space="preserve">. </w:t>
      </w:r>
    </w:p>
    <w:p w14:paraId="6005ED4E" w14:textId="20151F04" w:rsidR="005453EF" w:rsidRPr="000C0D39" w:rsidRDefault="005453EF">
      <w:pPr>
        <w:rPr>
          <w:rFonts w:cstheme="minorHAnsi"/>
          <w:sz w:val="22"/>
          <w:szCs w:val="22"/>
        </w:rPr>
      </w:pPr>
      <w:r w:rsidRPr="000C0D39">
        <w:rPr>
          <w:rFonts w:cstheme="minorHAnsi"/>
          <w:sz w:val="22"/>
          <w:szCs w:val="22"/>
        </w:rPr>
        <w:t xml:space="preserve">They </w:t>
      </w:r>
      <w:r w:rsidR="00391B04" w:rsidRPr="000C0D39">
        <w:rPr>
          <w:rFonts w:cstheme="minorHAnsi"/>
          <w:sz w:val="22"/>
          <w:szCs w:val="22"/>
        </w:rPr>
        <w:t>stripped out</w:t>
      </w:r>
      <w:r w:rsidRPr="000C0D39">
        <w:rPr>
          <w:rFonts w:cstheme="minorHAnsi"/>
          <w:sz w:val="22"/>
          <w:szCs w:val="22"/>
        </w:rPr>
        <w:t xml:space="preserve"> companies from countries that were considered an </w:t>
      </w:r>
      <w:r w:rsidR="00FF7F2B" w:rsidRPr="000C0D39">
        <w:rPr>
          <w:rFonts w:cstheme="minorHAnsi"/>
          <w:sz w:val="22"/>
          <w:szCs w:val="22"/>
        </w:rPr>
        <w:t>offshore financial centre</w:t>
      </w:r>
      <w:r w:rsidR="00391B04" w:rsidRPr="000C0D39">
        <w:rPr>
          <w:rFonts w:cstheme="minorHAnsi"/>
          <w:sz w:val="22"/>
          <w:szCs w:val="22"/>
        </w:rPr>
        <w:t>,</w:t>
      </w:r>
      <w:r w:rsidRPr="000C0D39">
        <w:rPr>
          <w:rFonts w:cstheme="minorHAnsi"/>
          <w:sz w:val="22"/>
          <w:szCs w:val="22"/>
        </w:rPr>
        <w:t xml:space="preserve"> </w:t>
      </w:r>
      <w:r w:rsidR="00FF7F2B" w:rsidRPr="000C0D39">
        <w:rPr>
          <w:rFonts w:cstheme="minorHAnsi"/>
          <w:sz w:val="22"/>
          <w:szCs w:val="22"/>
        </w:rPr>
        <w:t>as well as those</w:t>
      </w:r>
      <w:r w:rsidRPr="000C0D39">
        <w:rPr>
          <w:rFonts w:cstheme="minorHAnsi"/>
          <w:sz w:val="22"/>
          <w:szCs w:val="22"/>
        </w:rPr>
        <w:t xml:space="preserve"> in the financial sector. They </w:t>
      </w:r>
      <w:r w:rsidR="00391B04" w:rsidRPr="000C0D39">
        <w:rPr>
          <w:rFonts w:cstheme="minorHAnsi"/>
          <w:sz w:val="22"/>
          <w:szCs w:val="22"/>
        </w:rPr>
        <w:t>limited their search to companies that had</w:t>
      </w:r>
      <w:r w:rsidRPr="000C0D39">
        <w:rPr>
          <w:rFonts w:cstheme="minorHAnsi"/>
          <w:sz w:val="22"/>
          <w:szCs w:val="22"/>
        </w:rPr>
        <w:t xml:space="preserve"> information on all measures of accounting quality (and control variables</w:t>
      </w:r>
      <w:r w:rsidR="000C0A47" w:rsidRPr="000C0D39">
        <w:rPr>
          <w:rFonts w:cstheme="minorHAnsi"/>
          <w:sz w:val="22"/>
          <w:szCs w:val="22"/>
        </w:rPr>
        <w:t>),</w:t>
      </w:r>
      <w:r w:rsidRPr="000C0D39">
        <w:rPr>
          <w:rFonts w:cstheme="minorHAnsi"/>
          <w:sz w:val="22"/>
          <w:szCs w:val="22"/>
        </w:rPr>
        <w:t xml:space="preserve"> and </w:t>
      </w:r>
      <w:r w:rsidR="00FF7F2B" w:rsidRPr="000C0D39">
        <w:rPr>
          <w:rFonts w:cstheme="minorHAnsi"/>
          <w:sz w:val="22"/>
          <w:szCs w:val="22"/>
        </w:rPr>
        <w:t xml:space="preserve">they chose those that had </w:t>
      </w:r>
      <w:r w:rsidRPr="000C0D39">
        <w:rPr>
          <w:rFonts w:cstheme="minorHAnsi"/>
          <w:sz w:val="22"/>
          <w:szCs w:val="22"/>
        </w:rPr>
        <w:t>at least 10 years’ worth of observations, covering the period 2002-2013, which began with the adoption of the Sarbanes-Oxley Act in the U.S.</w:t>
      </w:r>
    </w:p>
    <w:p w14:paraId="4A201743" w14:textId="77777777" w:rsidR="00FF7F2B" w:rsidRPr="000C0D39" w:rsidRDefault="00FF7F2B" w:rsidP="005453EF">
      <w:pPr>
        <w:rPr>
          <w:rFonts w:cstheme="minorHAnsi"/>
          <w:sz w:val="22"/>
          <w:szCs w:val="22"/>
        </w:rPr>
      </w:pPr>
    </w:p>
    <w:p w14:paraId="10FB7754" w14:textId="41222202" w:rsidR="005453EF" w:rsidRPr="000C0D39" w:rsidRDefault="005453EF" w:rsidP="005453EF">
      <w:pPr>
        <w:rPr>
          <w:rFonts w:cstheme="minorHAnsi"/>
          <w:sz w:val="22"/>
          <w:szCs w:val="22"/>
        </w:rPr>
      </w:pPr>
      <w:r w:rsidRPr="000C0D39">
        <w:rPr>
          <w:rFonts w:cstheme="minorHAnsi"/>
          <w:sz w:val="22"/>
          <w:szCs w:val="22"/>
        </w:rPr>
        <w:t xml:space="preserve">They ended up with a sample of 3,236 multinational corporations that operated subsidiaries or affiliates in OFCs </w:t>
      </w:r>
      <w:r w:rsidR="00391B04" w:rsidRPr="000C0D39">
        <w:rPr>
          <w:rFonts w:cstheme="minorHAnsi"/>
          <w:sz w:val="22"/>
          <w:szCs w:val="22"/>
        </w:rPr>
        <w:t xml:space="preserve">during that </w:t>
      </w:r>
      <w:proofErr w:type="gramStart"/>
      <w:r w:rsidR="00391B04" w:rsidRPr="000C0D39">
        <w:rPr>
          <w:rFonts w:cstheme="minorHAnsi"/>
          <w:sz w:val="22"/>
          <w:szCs w:val="22"/>
        </w:rPr>
        <w:t>time period</w:t>
      </w:r>
      <w:proofErr w:type="gramEnd"/>
      <w:r w:rsidRPr="000C0D39">
        <w:rPr>
          <w:rFonts w:cstheme="minorHAnsi"/>
          <w:sz w:val="22"/>
          <w:szCs w:val="22"/>
        </w:rPr>
        <w:t>. That included 2,946 non-cross</w:t>
      </w:r>
      <w:r w:rsidR="00511CD8" w:rsidRPr="000C0D39">
        <w:rPr>
          <w:rFonts w:cstheme="minorHAnsi"/>
          <w:sz w:val="22"/>
          <w:szCs w:val="22"/>
        </w:rPr>
        <w:t>-</w:t>
      </w:r>
      <w:r w:rsidRPr="000C0D39">
        <w:rPr>
          <w:rFonts w:cstheme="minorHAnsi"/>
          <w:sz w:val="22"/>
          <w:szCs w:val="22"/>
        </w:rPr>
        <w:t>listed companies and 290 cross</w:t>
      </w:r>
      <w:r w:rsidR="00511CD8" w:rsidRPr="000C0D39">
        <w:rPr>
          <w:rFonts w:cstheme="minorHAnsi"/>
          <w:sz w:val="22"/>
          <w:szCs w:val="22"/>
        </w:rPr>
        <w:t>-</w:t>
      </w:r>
      <w:r w:rsidRPr="000C0D39">
        <w:rPr>
          <w:rFonts w:cstheme="minorHAnsi"/>
          <w:sz w:val="22"/>
          <w:szCs w:val="22"/>
        </w:rPr>
        <w:t>listed companies.</w:t>
      </w:r>
    </w:p>
    <w:p w14:paraId="679D0008" w14:textId="77777777" w:rsidR="00FF7F2B" w:rsidRPr="000C0D39" w:rsidRDefault="00FF7F2B" w:rsidP="005453EF">
      <w:pPr>
        <w:rPr>
          <w:rFonts w:cstheme="minorHAnsi"/>
          <w:sz w:val="22"/>
          <w:szCs w:val="22"/>
        </w:rPr>
      </w:pPr>
    </w:p>
    <w:p w14:paraId="7815EE3A" w14:textId="530AF004" w:rsidR="00FF7F2B" w:rsidRPr="000C0D39" w:rsidRDefault="005453EF">
      <w:pPr>
        <w:rPr>
          <w:rFonts w:cstheme="minorHAnsi"/>
          <w:sz w:val="22"/>
          <w:szCs w:val="22"/>
        </w:rPr>
      </w:pPr>
      <w:r w:rsidRPr="000C0D39">
        <w:rPr>
          <w:rFonts w:cstheme="minorHAnsi"/>
          <w:sz w:val="22"/>
          <w:szCs w:val="22"/>
        </w:rPr>
        <w:t>They represented 31 countries</w:t>
      </w:r>
      <w:r w:rsidR="00391B04" w:rsidRPr="000C0D39">
        <w:rPr>
          <w:rFonts w:cstheme="minorHAnsi"/>
          <w:sz w:val="22"/>
          <w:szCs w:val="22"/>
        </w:rPr>
        <w:t xml:space="preserve">, with </w:t>
      </w:r>
      <w:r w:rsidR="00F4041F" w:rsidRPr="000C0D39">
        <w:rPr>
          <w:rFonts w:cstheme="minorHAnsi"/>
          <w:sz w:val="22"/>
          <w:szCs w:val="22"/>
        </w:rPr>
        <w:t xml:space="preserve">the U.K., Germany, France, </w:t>
      </w:r>
      <w:proofErr w:type="gramStart"/>
      <w:r w:rsidR="00F4041F" w:rsidRPr="000C0D39">
        <w:rPr>
          <w:rFonts w:cstheme="minorHAnsi"/>
          <w:sz w:val="22"/>
          <w:szCs w:val="22"/>
        </w:rPr>
        <w:t>Japan</w:t>
      </w:r>
      <w:proofErr w:type="gramEnd"/>
      <w:r w:rsidR="00F4041F" w:rsidRPr="000C0D39">
        <w:rPr>
          <w:rFonts w:cstheme="minorHAnsi"/>
          <w:sz w:val="22"/>
          <w:szCs w:val="22"/>
        </w:rPr>
        <w:t xml:space="preserve"> and Taiwan account</w:t>
      </w:r>
      <w:r w:rsidR="00391B04" w:rsidRPr="000C0D39">
        <w:rPr>
          <w:rFonts w:cstheme="minorHAnsi"/>
          <w:sz w:val="22"/>
          <w:szCs w:val="22"/>
        </w:rPr>
        <w:t>ing</w:t>
      </w:r>
      <w:r w:rsidR="00F4041F" w:rsidRPr="000C0D39">
        <w:rPr>
          <w:rFonts w:cstheme="minorHAnsi"/>
          <w:sz w:val="22"/>
          <w:szCs w:val="22"/>
        </w:rPr>
        <w:t xml:space="preserve"> for 63 per cent of the observations </w:t>
      </w:r>
      <w:r w:rsidR="00391B04" w:rsidRPr="000C0D39">
        <w:rPr>
          <w:rFonts w:cstheme="minorHAnsi"/>
          <w:sz w:val="22"/>
          <w:szCs w:val="22"/>
        </w:rPr>
        <w:t>that they</w:t>
      </w:r>
      <w:r w:rsidR="00F4041F" w:rsidRPr="000C0D39">
        <w:rPr>
          <w:rFonts w:cstheme="minorHAnsi"/>
          <w:sz w:val="22"/>
          <w:szCs w:val="22"/>
        </w:rPr>
        <w:t xml:space="preserve"> studied. (Canadian MNCs were excluded from the primary sample</w:t>
      </w:r>
      <w:r w:rsidR="00EE2A2C" w:rsidRPr="000C0D39">
        <w:rPr>
          <w:rFonts w:cstheme="minorHAnsi"/>
          <w:sz w:val="22"/>
          <w:szCs w:val="22"/>
        </w:rPr>
        <w:t xml:space="preserve"> because most list their shares </w:t>
      </w:r>
      <w:r w:rsidR="00EE2A2C" w:rsidRPr="000C0D39">
        <w:rPr>
          <w:rFonts w:cstheme="minorHAnsi"/>
          <w:sz w:val="22"/>
          <w:szCs w:val="22"/>
        </w:rPr>
        <w:lastRenderedPageBreak/>
        <w:t xml:space="preserve">directly in the U.S. and are excluded from many disclosure requirements under </w:t>
      </w:r>
      <w:r w:rsidR="00F4041F" w:rsidRPr="000C0D39">
        <w:rPr>
          <w:rFonts w:cstheme="minorHAnsi"/>
          <w:sz w:val="22"/>
          <w:szCs w:val="22"/>
        </w:rPr>
        <w:t>the multijurisdictional disclosure system</w:t>
      </w:r>
      <w:r w:rsidR="00391B04" w:rsidRPr="000C0D39">
        <w:rPr>
          <w:rFonts w:cstheme="minorHAnsi"/>
          <w:sz w:val="22"/>
          <w:szCs w:val="22"/>
        </w:rPr>
        <w:t xml:space="preserve"> between the U.S. and Canada</w:t>
      </w:r>
      <w:r w:rsidR="00EE2A2C" w:rsidRPr="000C0D39">
        <w:rPr>
          <w:rFonts w:cstheme="minorHAnsi"/>
          <w:sz w:val="22"/>
          <w:szCs w:val="22"/>
        </w:rPr>
        <w:t>.)</w:t>
      </w:r>
    </w:p>
    <w:p w14:paraId="4DAECF3E" w14:textId="77777777" w:rsidR="00FF7F2B" w:rsidRPr="000C0D39" w:rsidRDefault="00FF7F2B">
      <w:pPr>
        <w:rPr>
          <w:rFonts w:cstheme="minorHAnsi"/>
          <w:sz w:val="22"/>
          <w:szCs w:val="22"/>
        </w:rPr>
      </w:pPr>
    </w:p>
    <w:p w14:paraId="570E5169" w14:textId="173D6DDB" w:rsidR="00EE2A2C" w:rsidRPr="000C0D39" w:rsidRDefault="00FF7F2B">
      <w:pPr>
        <w:rPr>
          <w:rFonts w:cstheme="minorHAnsi"/>
          <w:sz w:val="22"/>
          <w:szCs w:val="22"/>
        </w:rPr>
      </w:pPr>
      <w:r w:rsidRPr="000C0D39">
        <w:rPr>
          <w:rFonts w:cstheme="minorHAnsi"/>
          <w:sz w:val="22"/>
          <w:szCs w:val="22"/>
        </w:rPr>
        <w:t xml:space="preserve">Companies in the materials, industrial and telecom sectors dominated, with slightly more than 80 per cent of the sample size. </w:t>
      </w:r>
      <w:r w:rsidR="00F4041F" w:rsidRPr="000C0D39">
        <w:rPr>
          <w:rFonts w:cstheme="minorHAnsi"/>
          <w:sz w:val="22"/>
          <w:szCs w:val="22"/>
        </w:rPr>
        <w:t xml:space="preserve"> </w:t>
      </w:r>
    </w:p>
    <w:p w14:paraId="684EB150" w14:textId="688E870D" w:rsidR="00552875" w:rsidRPr="000C0D39" w:rsidRDefault="005F7A5D" w:rsidP="00FF7F2B">
      <w:pPr>
        <w:pStyle w:val="NormalWeb"/>
        <w:rPr>
          <w:rFonts w:asciiTheme="minorHAnsi" w:hAnsiTheme="minorHAnsi" w:cstheme="minorHAnsi"/>
          <w:sz w:val="22"/>
          <w:szCs w:val="22"/>
        </w:rPr>
      </w:pPr>
      <w:r w:rsidRPr="000C0D39">
        <w:rPr>
          <w:rFonts w:asciiTheme="minorHAnsi" w:hAnsiTheme="minorHAnsi" w:cstheme="minorHAnsi"/>
          <w:sz w:val="22"/>
          <w:szCs w:val="22"/>
        </w:rPr>
        <w:t xml:space="preserve">When assessing the </w:t>
      </w:r>
      <w:r w:rsidR="00552875" w:rsidRPr="000C0D39">
        <w:rPr>
          <w:rFonts w:asciiTheme="minorHAnsi" w:hAnsiTheme="minorHAnsi" w:cstheme="minorHAnsi"/>
          <w:sz w:val="22"/>
          <w:szCs w:val="22"/>
        </w:rPr>
        <w:t>40</w:t>
      </w:r>
      <w:r w:rsidRPr="000C0D39">
        <w:rPr>
          <w:rFonts w:asciiTheme="minorHAnsi" w:hAnsiTheme="minorHAnsi" w:cstheme="minorHAnsi"/>
          <w:sz w:val="22"/>
          <w:szCs w:val="22"/>
        </w:rPr>
        <w:t xml:space="preserve"> OFCs</w:t>
      </w:r>
      <w:r w:rsidR="00FF7F2B" w:rsidRPr="000C0D39">
        <w:rPr>
          <w:rFonts w:asciiTheme="minorHAnsi" w:hAnsiTheme="minorHAnsi" w:cstheme="minorHAnsi"/>
          <w:sz w:val="22"/>
          <w:szCs w:val="22"/>
        </w:rPr>
        <w:t xml:space="preserve"> that the multinational corporations used</w:t>
      </w:r>
      <w:r w:rsidRPr="000C0D39">
        <w:rPr>
          <w:rFonts w:asciiTheme="minorHAnsi" w:hAnsiTheme="minorHAnsi" w:cstheme="minorHAnsi"/>
          <w:sz w:val="22"/>
          <w:szCs w:val="22"/>
        </w:rPr>
        <w:t xml:space="preserve">, the academics </w:t>
      </w:r>
      <w:r w:rsidR="00FF7F2B" w:rsidRPr="000C0D39">
        <w:rPr>
          <w:rFonts w:asciiTheme="minorHAnsi" w:hAnsiTheme="minorHAnsi" w:cstheme="minorHAnsi"/>
          <w:sz w:val="22"/>
          <w:szCs w:val="22"/>
        </w:rPr>
        <w:t>turned to</w:t>
      </w:r>
      <w:r w:rsidRPr="000C0D39">
        <w:rPr>
          <w:rFonts w:asciiTheme="minorHAnsi" w:hAnsiTheme="minorHAnsi" w:cstheme="minorHAnsi"/>
          <w:sz w:val="22"/>
          <w:szCs w:val="22"/>
        </w:rPr>
        <w:t xml:space="preserve"> </w:t>
      </w:r>
      <w:r w:rsidR="0068797D" w:rsidRPr="000C0D39">
        <w:rPr>
          <w:rFonts w:asciiTheme="minorHAnsi" w:hAnsiTheme="minorHAnsi" w:cstheme="minorHAnsi"/>
          <w:sz w:val="22"/>
          <w:szCs w:val="22"/>
        </w:rPr>
        <w:t xml:space="preserve">the offshore attitude index. It is a zero to five scale that takes into consideration characteristics of </w:t>
      </w:r>
      <w:r w:rsidR="00FF7F2B" w:rsidRPr="000C0D39">
        <w:rPr>
          <w:rFonts w:asciiTheme="minorHAnsi" w:hAnsiTheme="minorHAnsi" w:cstheme="minorHAnsi"/>
          <w:sz w:val="22"/>
          <w:szCs w:val="22"/>
        </w:rPr>
        <w:t>an</w:t>
      </w:r>
      <w:r w:rsidR="0068797D" w:rsidRPr="000C0D39">
        <w:rPr>
          <w:rFonts w:asciiTheme="minorHAnsi" w:hAnsiTheme="minorHAnsi" w:cstheme="minorHAnsi"/>
          <w:sz w:val="22"/>
          <w:szCs w:val="22"/>
        </w:rPr>
        <w:t xml:space="preserve"> OFC and includes things like political stability, regulations enforcement, the presence of crime, and whether it falls on a blacklist, such as the Financial Action Tasks Force’s list of Non</w:t>
      </w:r>
      <w:r w:rsidR="000C0A47" w:rsidRPr="000C0D39">
        <w:rPr>
          <w:rFonts w:asciiTheme="minorHAnsi" w:hAnsiTheme="minorHAnsi" w:cstheme="minorHAnsi"/>
          <w:sz w:val="22"/>
          <w:szCs w:val="22"/>
        </w:rPr>
        <w:t>-</w:t>
      </w:r>
      <w:r w:rsidR="0068797D" w:rsidRPr="000C0D39">
        <w:rPr>
          <w:rFonts w:asciiTheme="minorHAnsi" w:hAnsiTheme="minorHAnsi" w:cstheme="minorHAnsi"/>
          <w:sz w:val="22"/>
          <w:szCs w:val="22"/>
        </w:rPr>
        <w:t xml:space="preserve"> Co</w:t>
      </w:r>
      <w:r w:rsidR="000C0A47" w:rsidRPr="000C0D39">
        <w:rPr>
          <w:rFonts w:asciiTheme="minorHAnsi" w:hAnsiTheme="minorHAnsi" w:cstheme="minorHAnsi"/>
          <w:sz w:val="22"/>
          <w:szCs w:val="22"/>
        </w:rPr>
        <w:t>-</w:t>
      </w:r>
      <w:r w:rsidR="0068797D" w:rsidRPr="000C0D39">
        <w:rPr>
          <w:rFonts w:asciiTheme="minorHAnsi" w:hAnsiTheme="minorHAnsi" w:cstheme="minorHAnsi"/>
          <w:sz w:val="22"/>
          <w:szCs w:val="22"/>
        </w:rPr>
        <w:t>operative Countries and Territories,</w:t>
      </w:r>
      <w:r w:rsidR="00FF7F2B" w:rsidRPr="000C0D39">
        <w:rPr>
          <w:rFonts w:asciiTheme="minorHAnsi" w:hAnsiTheme="minorHAnsi" w:cstheme="minorHAnsi"/>
          <w:sz w:val="22"/>
          <w:szCs w:val="22"/>
        </w:rPr>
        <w:t xml:space="preserve"> which concerns itself with money laundering, or </w:t>
      </w:r>
      <w:r w:rsidR="0068797D" w:rsidRPr="000C0D39">
        <w:rPr>
          <w:rFonts w:asciiTheme="minorHAnsi" w:hAnsiTheme="minorHAnsi" w:cstheme="minorHAnsi"/>
          <w:sz w:val="22"/>
          <w:szCs w:val="22"/>
        </w:rPr>
        <w:t xml:space="preserve">the OECD’s list of tax havens. The higher the score, </w:t>
      </w:r>
      <w:r w:rsidR="00280FA8" w:rsidRPr="000C0D39">
        <w:rPr>
          <w:rFonts w:asciiTheme="minorHAnsi" w:hAnsiTheme="minorHAnsi" w:cstheme="minorHAnsi"/>
          <w:sz w:val="22"/>
          <w:szCs w:val="22"/>
        </w:rPr>
        <w:t>the lower the level of transparency and oversight</w:t>
      </w:r>
      <w:r w:rsidR="000C0A47" w:rsidRPr="000C0D39">
        <w:rPr>
          <w:rFonts w:asciiTheme="minorHAnsi" w:hAnsiTheme="minorHAnsi" w:cstheme="minorHAnsi"/>
          <w:sz w:val="22"/>
          <w:szCs w:val="22"/>
        </w:rPr>
        <w:t xml:space="preserve"> associated with the OFC</w:t>
      </w:r>
      <w:r w:rsidR="00280FA8" w:rsidRPr="000C0D39">
        <w:rPr>
          <w:rFonts w:asciiTheme="minorHAnsi" w:hAnsiTheme="minorHAnsi" w:cstheme="minorHAnsi"/>
          <w:sz w:val="22"/>
          <w:szCs w:val="22"/>
        </w:rPr>
        <w:t>.</w:t>
      </w:r>
    </w:p>
    <w:p w14:paraId="7E488087" w14:textId="28FF8C71" w:rsidR="00280FA8" w:rsidRPr="000C0D39" w:rsidRDefault="00F00905" w:rsidP="00280FA8">
      <w:pPr>
        <w:rPr>
          <w:rFonts w:cstheme="minorHAnsi"/>
          <w:b/>
          <w:bCs/>
          <w:sz w:val="28"/>
          <w:szCs w:val="28"/>
        </w:rPr>
      </w:pPr>
      <w:r w:rsidRPr="000C0D39">
        <w:rPr>
          <w:rFonts w:cstheme="minorHAnsi"/>
          <w:b/>
          <w:bCs/>
          <w:sz w:val="28"/>
          <w:szCs w:val="28"/>
        </w:rPr>
        <w:t xml:space="preserve">The Results </w:t>
      </w:r>
    </w:p>
    <w:p w14:paraId="127491E5" w14:textId="313FF937" w:rsidR="00B60435" w:rsidRPr="000C0D39" w:rsidRDefault="00B60435" w:rsidP="00280FA8">
      <w:pPr>
        <w:rPr>
          <w:rFonts w:cstheme="minorHAnsi"/>
          <w:b/>
          <w:bCs/>
          <w:sz w:val="22"/>
          <w:szCs w:val="22"/>
        </w:rPr>
      </w:pPr>
      <w:r w:rsidRPr="000C0D39">
        <w:rPr>
          <w:rFonts w:cstheme="minorHAnsi"/>
          <w:sz w:val="22"/>
          <w:szCs w:val="22"/>
        </w:rPr>
        <w:t xml:space="preserve">The report found that “MNCs cross-listing in the U.S., exhibit lower abnormal accruals, higher accruals quality and more persistent earnings patterns compared to MNCs not-cross-listing in the U.S.,” which the academics said supported the corporate governance bonding theory. They determined that a cross-listing in the U.S. was associated with a 20.93% reduction in the absolute value of abnormal accruals. </w:t>
      </w:r>
    </w:p>
    <w:p w14:paraId="4DFB534F" w14:textId="4227A4A5" w:rsidR="00B60435" w:rsidRPr="000C0D39" w:rsidRDefault="00280FA8" w:rsidP="00B60435">
      <w:pPr>
        <w:pStyle w:val="NormalWeb"/>
        <w:rPr>
          <w:rFonts w:asciiTheme="minorHAnsi" w:hAnsiTheme="minorHAnsi" w:cstheme="minorHAnsi"/>
          <w:sz w:val="22"/>
          <w:szCs w:val="22"/>
        </w:rPr>
      </w:pPr>
      <w:r w:rsidRPr="000C0D39">
        <w:rPr>
          <w:rFonts w:asciiTheme="minorHAnsi" w:hAnsiTheme="minorHAnsi" w:cstheme="minorHAnsi"/>
          <w:sz w:val="22"/>
          <w:szCs w:val="22"/>
        </w:rPr>
        <w:t>However, t</w:t>
      </w:r>
      <w:r w:rsidR="006523C1" w:rsidRPr="000C0D39">
        <w:rPr>
          <w:rFonts w:asciiTheme="minorHAnsi" w:hAnsiTheme="minorHAnsi" w:cstheme="minorHAnsi"/>
          <w:sz w:val="22"/>
          <w:szCs w:val="22"/>
        </w:rPr>
        <w:t>hey also found that “</w:t>
      </w:r>
      <w:r w:rsidR="00B60435" w:rsidRPr="000C0D39">
        <w:rPr>
          <w:rFonts w:asciiTheme="minorHAnsi" w:hAnsiTheme="minorHAnsi" w:cstheme="minorHAnsi"/>
          <w:sz w:val="22"/>
          <w:szCs w:val="22"/>
        </w:rPr>
        <w:t>the positive association between cross</w:t>
      </w:r>
      <w:r w:rsidR="00511CD8" w:rsidRPr="000C0D39">
        <w:rPr>
          <w:rFonts w:asciiTheme="minorHAnsi" w:hAnsiTheme="minorHAnsi" w:cstheme="minorHAnsi"/>
          <w:sz w:val="22"/>
          <w:szCs w:val="22"/>
        </w:rPr>
        <w:t>-</w:t>
      </w:r>
      <w:r w:rsidR="00B60435" w:rsidRPr="000C0D39">
        <w:rPr>
          <w:rFonts w:asciiTheme="minorHAnsi" w:hAnsiTheme="minorHAnsi" w:cstheme="minorHAnsi"/>
          <w:sz w:val="22"/>
          <w:szCs w:val="22"/>
        </w:rPr>
        <w:t>listing and accounting quality is negatively moderated by a MNC’s choice of OFC subsidiaries or affiliates, thereby suggesting that the internal institutions underlying foreign subsidiaries do relate to the accounting quality of the parent firm.</w:t>
      </w:r>
      <w:r w:rsidR="006523C1" w:rsidRPr="000C0D39">
        <w:rPr>
          <w:rFonts w:asciiTheme="minorHAnsi" w:hAnsiTheme="minorHAnsi" w:cstheme="minorHAnsi"/>
          <w:sz w:val="22"/>
          <w:szCs w:val="22"/>
        </w:rPr>
        <w:t>”</w:t>
      </w:r>
      <w:r w:rsidR="00B60435" w:rsidRPr="000C0D39">
        <w:rPr>
          <w:rFonts w:asciiTheme="minorHAnsi" w:hAnsiTheme="minorHAnsi" w:cstheme="minorHAnsi"/>
          <w:sz w:val="22"/>
          <w:szCs w:val="22"/>
        </w:rPr>
        <w:t xml:space="preserve"> </w:t>
      </w:r>
    </w:p>
    <w:p w14:paraId="68B22D6E" w14:textId="7D6B86FD" w:rsidR="00280FA8" w:rsidRPr="000C0D39" w:rsidRDefault="00280FA8" w:rsidP="00B60435">
      <w:pPr>
        <w:pStyle w:val="NormalWeb"/>
        <w:rPr>
          <w:rFonts w:asciiTheme="minorHAnsi" w:hAnsiTheme="minorHAnsi" w:cstheme="minorHAnsi"/>
          <w:sz w:val="22"/>
          <w:szCs w:val="22"/>
        </w:rPr>
      </w:pPr>
      <w:r w:rsidRPr="000C0D39">
        <w:rPr>
          <w:rFonts w:asciiTheme="minorHAnsi" w:hAnsiTheme="minorHAnsi" w:cstheme="minorHAnsi"/>
          <w:sz w:val="22"/>
          <w:szCs w:val="22"/>
        </w:rPr>
        <w:t xml:space="preserve">For example, they found that higher offshore attitude index scores for cross-listed MNCs were associated with higher absolute values of abnormal accruals, higher positive abnormal accruals and lower accruals quality, lower modified accruals quality and lower earnings persistence. </w:t>
      </w:r>
    </w:p>
    <w:p w14:paraId="5F75F198" w14:textId="2FA78EB6" w:rsidR="00B60435" w:rsidRPr="000C0D39" w:rsidRDefault="00B60435" w:rsidP="00B60435">
      <w:pPr>
        <w:pStyle w:val="NormalWeb"/>
        <w:rPr>
          <w:rFonts w:asciiTheme="minorHAnsi" w:hAnsiTheme="minorHAnsi" w:cstheme="minorHAnsi"/>
          <w:sz w:val="22"/>
          <w:szCs w:val="22"/>
        </w:rPr>
      </w:pPr>
      <w:r w:rsidRPr="000C0D39">
        <w:rPr>
          <w:rFonts w:asciiTheme="minorHAnsi" w:hAnsiTheme="minorHAnsi" w:cstheme="minorHAnsi"/>
          <w:sz w:val="22"/>
          <w:szCs w:val="22"/>
        </w:rPr>
        <w:t xml:space="preserve">“Moreover, a MNC’s OFC choice also negatively moderates the relation between home country governance and accounting quality, thus lending further support to </w:t>
      </w:r>
      <w:r w:rsidRPr="000C0D39">
        <w:rPr>
          <w:rFonts w:asciiTheme="minorHAnsi" w:hAnsiTheme="minorHAnsi" w:cstheme="minorHAnsi"/>
          <w:i/>
          <w:iCs/>
          <w:sz w:val="22"/>
          <w:szCs w:val="22"/>
        </w:rPr>
        <w:t>corporate governance arbitrage theory</w:t>
      </w:r>
      <w:r w:rsidRPr="000C0D39">
        <w:rPr>
          <w:rFonts w:asciiTheme="minorHAnsi" w:hAnsiTheme="minorHAnsi" w:cstheme="minorHAnsi"/>
          <w:sz w:val="22"/>
          <w:szCs w:val="22"/>
        </w:rPr>
        <w:t>.”</w:t>
      </w:r>
    </w:p>
    <w:p w14:paraId="353FBC4D" w14:textId="084A4EC6" w:rsidR="00AD3FCF" w:rsidRPr="000C0D39" w:rsidRDefault="006523C1" w:rsidP="00AD3FCF">
      <w:pPr>
        <w:pStyle w:val="NormalWeb"/>
        <w:rPr>
          <w:rFonts w:asciiTheme="minorHAnsi" w:hAnsiTheme="minorHAnsi" w:cstheme="minorHAnsi"/>
          <w:sz w:val="22"/>
          <w:szCs w:val="22"/>
        </w:rPr>
      </w:pPr>
      <w:r w:rsidRPr="000C0D39">
        <w:rPr>
          <w:rFonts w:asciiTheme="minorHAnsi" w:hAnsiTheme="minorHAnsi" w:cstheme="minorHAnsi"/>
          <w:sz w:val="22"/>
          <w:szCs w:val="22"/>
        </w:rPr>
        <w:t xml:space="preserve">The academics also </w:t>
      </w:r>
      <w:r w:rsidR="003D69C7" w:rsidRPr="000C0D39">
        <w:rPr>
          <w:rFonts w:asciiTheme="minorHAnsi" w:hAnsiTheme="minorHAnsi" w:cstheme="minorHAnsi"/>
          <w:sz w:val="22"/>
          <w:szCs w:val="22"/>
        </w:rPr>
        <w:t xml:space="preserve">conducted </w:t>
      </w:r>
      <w:r w:rsidR="00AD3FCF" w:rsidRPr="000C0D39">
        <w:rPr>
          <w:rFonts w:asciiTheme="minorHAnsi" w:hAnsiTheme="minorHAnsi" w:cstheme="minorHAnsi"/>
          <w:sz w:val="22"/>
          <w:szCs w:val="22"/>
        </w:rPr>
        <w:t>similar tests on MNCs that d</w:t>
      </w:r>
      <w:r w:rsidR="003D69C7" w:rsidRPr="000C0D39">
        <w:rPr>
          <w:rFonts w:asciiTheme="minorHAnsi" w:hAnsiTheme="minorHAnsi" w:cstheme="minorHAnsi"/>
          <w:sz w:val="22"/>
          <w:szCs w:val="22"/>
        </w:rPr>
        <w:t>id</w:t>
      </w:r>
      <w:r w:rsidR="00AD3FCF" w:rsidRPr="000C0D39">
        <w:rPr>
          <w:rFonts w:asciiTheme="minorHAnsi" w:hAnsiTheme="minorHAnsi" w:cstheme="minorHAnsi"/>
          <w:sz w:val="22"/>
          <w:szCs w:val="22"/>
        </w:rPr>
        <w:t xml:space="preserve"> not register subsidiaries or affiliates in </w:t>
      </w:r>
      <w:r w:rsidR="003D69C7" w:rsidRPr="000C0D39">
        <w:rPr>
          <w:rFonts w:asciiTheme="minorHAnsi" w:hAnsiTheme="minorHAnsi" w:cstheme="minorHAnsi"/>
          <w:sz w:val="22"/>
          <w:szCs w:val="22"/>
        </w:rPr>
        <w:t xml:space="preserve">an </w:t>
      </w:r>
      <w:r w:rsidR="00AD3FCF" w:rsidRPr="000C0D39">
        <w:rPr>
          <w:rFonts w:asciiTheme="minorHAnsi" w:hAnsiTheme="minorHAnsi" w:cstheme="minorHAnsi"/>
          <w:sz w:val="22"/>
          <w:szCs w:val="22"/>
        </w:rPr>
        <w:t>OFC</w:t>
      </w:r>
      <w:r w:rsidR="003D69C7" w:rsidRPr="000C0D39">
        <w:rPr>
          <w:rFonts w:asciiTheme="minorHAnsi" w:hAnsiTheme="minorHAnsi" w:cstheme="minorHAnsi"/>
          <w:sz w:val="22"/>
          <w:szCs w:val="22"/>
        </w:rPr>
        <w:t xml:space="preserve"> and compared th</w:t>
      </w:r>
      <w:r w:rsidR="00280FA8" w:rsidRPr="000C0D39">
        <w:rPr>
          <w:rFonts w:asciiTheme="minorHAnsi" w:hAnsiTheme="minorHAnsi" w:cstheme="minorHAnsi"/>
          <w:sz w:val="22"/>
          <w:szCs w:val="22"/>
        </w:rPr>
        <w:t>em</w:t>
      </w:r>
      <w:r w:rsidR="003D69C7" w:rsidRPr="000C0D39">
        <w:rPr>
          <w:rFonts w:asciiTheme="minorHAnsi" w:hAnsiTheme="minorHAnsi" w:cstheme="minorHAnsi"/>
          <w:sz w:val="22"/>
          <w:szCs w:val="22"/>
        </w:rPr>
        <w:t xml:space="preserve"> to those that do and concluded that “</w:t>
      </w:r>
      <w:r w:rsidR="00AD3FCF" w:rsidRPr="000C0D39">
        <w:rPr>
          <w:rFonts w:asciiTheme="minorHAnsi" w:hAnsiTheme="minorHAnsi" w:cstheme="minorHAnsi"/>
          <w:sz w:val="22"/>
          <w:szCs w:val="22"/>
        </w:rPr>
        <w:t xml:space="preserve">the mobility of bad governance, i.e., setting up subsidiaries in OFCs, does impact the overall accounting quality of MNCs, thus lending further credence to the </w:t>
      </w:r>
      <w:r w:rsidR="00AD3FCF" w:rsidRPr="000C0D39">
        <w:rPr>
          <w:rFonts w:asciiTheme="minorHAnsi" w:hAnsiTheme="minorHAnsi" w:cstheme="minorHAnsi"/>
          <w:i/>
          <w:iCs/>
          <w:sz w:val="22"/>
          <w:szCs w:val="22"/>
        </w:rPr>
        <w:t>corporate governance arbitrage theory</w:t>
      </w:r>
      <w:r w:rsidR="00AD3FCF" w:rsidRPr="000C0D39">
        <w:rPr>
          <w:rFonts w:asciiTheme="minorHAnsi" w:hAnsiTheme="minorHAnsi" w:cstheme="minorHAnsi"/>
          <w:sz w:val="22"/>
          <w:szCs w:val="22"/>
        </w:rPr>
        <w:t>.</w:t>
      </w:r>
      <w:r w:rsidR="003D69C7" w:rsidRPr="000C0D39">
        <w:rPr>
          <w:rFonts w:asciiTheme="minorHAnsi" w:hAnsiTheme="minorHAnsi" w:cstheme="minorHAnsi"/>
          <w:sz w:val="22"/>
          <w:szCs w:val="22"/>
        </w:rPr>
        <w:t>”</w:t>
      </w:r>
    </w:p>
    <w:p w14:paraId="71B0D4C4" w14:textId="77777777" w:rsidR="00280FA8" w:rsidRPr="000C0D39" w:rsidRDefault="00F00905" w:rsidP="00280FA8">
      <w:pPr>
        <w:rPr>
          <w:rFonts w:cstheme="minorHAnsi"/>
          <w:b/>
          <w:bCs/>
          <w:sz w:val="28"/>
          <w:szCs w:val="28"/>
        </w:rPr>
      </w:pPr>
      <w:r w:rsidRPr="000C0D39">
        <w:rPr>
          <w:rFonts w:cstheme="minorHAnsi"/>
          <w:b/>
          <w:bCs/>
          <w:sz w:val="28"/>
          <w:szCs w:val="28"/>
        </w:rPr>
        <w:t>Implications</w:t>
      </w:r>
    </w:p>
    <w:p w14:paraId="1EB0681D" w14:textId="497E6111" w:rsidR="003D69C7" w:rsidRPr="000C0D39" w:rsidRDefault="00FA3A8C" w:rsidP="00280FA8">
      <w:pPr>
        <w:rPr>
          <w:rFonts w:cstheme="minorHAnsi"/>
          <w:b/>
          <w:bCs/>
          <w:sz w:val="22"/>
          <w:szCs w:val="22"/>
        </w:rPr>
      </w:pPr>
      <w:r w:rsidRPr="000C0D39">
        <w:rPr>
          <w:rFonts w:cstheme="minorHAnsi"/>
          <w:sz w:val="22"/>
          <w:szCs w:val="22"/>
        </w:rPr>
        <w:t xml:space="preserve">The study is notable for three reasons. First, it adds to the literature involving corporate governance around MNCs. Academics have called for more study on the parent-subsidiary relationship. By examining the accounting quality of MNCs that have an OFC structure, the authors say they heed that call, and </w:t>
      </w:r>
      <w:r w:rsidR="00AC4FE5" w:rsidRPr="000C0D39">
        <w:rPr>
          <w:rFonts w:cstheme="minorHAnsi"/>
          <w:sz w:val="22"/>
          <w:szCs w:val="22"/>
        </w:rPr>
        <w:t>show</w:t>
      </w:r>
      <w:r w:rsidRPr="000C0D39">
        <w:rPr>
          <w:rFonts w:cstheme="minorHAnsi"/>
          <w:sz w:val="22"/>
          <w:szCs w:val="22"/>
        </w:rPr>
        <w:t xml:space="preserve"> the need to have “effective” co-operation between of MNCs regulators in home and host countries to “enhance accounting quality.”</w:t>
      </w:r>
    </w:p>
    <w:p w14:paraId="11136E0D" w14:textId="19BB8F67" w:rsidR="00FA3A8C" w:rsidRPr="000C0D39" w:rsidRDefault="00FA3A8C" w:rsidP="00B60435">
      <w:pPr>
        <w:pStyle w:val="NormalWeb"/>
        <w:rPr>
          <w:rFonts w:asciiTheme="minorHAnsi" w:hAnsiTheme="minorHAnsi" w:cstheme="minorHAnsi"/>
          <w:sz w:val="22"/>
          <w:szCs w:val="22"/>
        </w:rPr>
      </w:pPr>
      <w:r w:rsidRPr="000C0D39">
        <w:rPr>
          <w:rFonts w:asciiTheme="minorHAnsi" w:hAnsiTheme="minorHAnsi" w:cstheme="minorHAnsi"/>
          <w:sz w:val="22"/>
          <w:szCs w:val="22"/>
        </w:rPr>
        <w:t>Second, the study advances the literature on foreign firms listing in the U.S. Past research has focused on the parent companies</w:t>
      </w:r>
      <w:r w:rsidR="00AC4FE5" w:rsidRPr="000C0D39">
        <w:rPr>
          <w:rFonts w:asciiTheme="minorHAnsi" w:hAnsiTheme="minorHAnsi" w:cstheme="minorHAnsi"/>
          <w:sz w:val="22"/>
          <w:szCs w:val="22"/>
        </w:rPr>
        <w:t>’</w:t>
      </w:r>
      <w:r w:rsidRPr="000C0D39">
        <w:rPr>
          <w:rFonts w:asciiTheme="minorHAnsi" w:hAnsiTheme="minorHAnsi" w:cstheme="minorHAnsi"/>
          <w:sz w:val="22"/>
          <w:szCs w:val="22"/>
        </w:rPr>
        <w:t xml:space="preserve"> legal and institutional environment. </w:t>
      </w:r>
      <w:r w:rsidR="002A52E0" w:rsidRPr="000C0D39">
        <w:rPr>
          <w:rFonts w:asciiTheme="minorHAnsi" w:hAnsiTheme="minorHAnsi" w:cstheme="minorHAnsi"/>
          <w:sz w:val="22"/>
          <w:szCs w:val="22"/>
        </w:rPr>
        <w:t xml:space="preserve">This study examines how </w:t>
      </w:r>
      <w:r w:rsidR="00AC4FE5" w:rsidRPr="000C0D39">
        <w:rPr>
          <w:rFonts w:asciiTheme="minorHAnsi" w:hAnsiTheme="minorHAnsi" w:cstheme="minorHAnsi"/>
          <w:sz w:val="22"/>
          <w:szCs w:val="22"/>
        </w:rPr>
        <w:t xml:space="preserve">an MNC’s </w:t>
      </w:r>
      <w:r w:rsidR="002A52E0" w:rsidRPr="000C0D39">
        <w:rPr>
          <w:rFonts w:asciiTheme="minorHAnsi" w:hAnsiTheme="minorHAnsi" w:cstheme="minorHAnsi"/>
          <w:sz w:val="22"/>
          <w:szCs w:val="22"/>
        </w:rPr>
        <w:t>underlying internal legal institutions interact with their cross-listing status and how that impacts accounting quality.</w:t>
      </w:r>
    </w:p>
    <w:p w14:paraId="6255D9E1" w14:textId="79A818DB" w:rsidR="002A52E0" w:rsidRPr="000C0D39" w:rsidRDefault="002A52E0" w:rsidP="00B60435">
      <w:pPr>
        <w:pStyle w:val="NormalWeb"/>
        <w:rPr>
          <w:rFonts w:asciiTheme="minorHAnsi" w:hAnsiTheme="minorHAnsi" w:cstheme="minorHAnsi"/>
          <w:sz w:val="22"/>
          <w:szCs w:val="22"/>
        </w:rPr>
      </w:pPr>
      <w:r w:rsidRPr="000C0D39">
        <w:rPr>
          <w:rFonts w:asciiTheme="minorHAnsi" w:hAnsiTheme="minorHAnsi" w:cstheme="minorHAnsi"/>
          <w:sz w:val="22"/>
          <w:szCs w:val="22"/>
        </w:rPr>
        <w:t xml:space="preserve">Third </w:t>
      </w:r>
      <w:r w:rsidR="000C0A47" w:rsidRPr="000C0D39">
        <w:rPr>
          <w:rFonts w:asciiTheme="minorHAnsi" w:hAnsiTheme="minorHAnsi" w:cstheme="minorHAnsi"/>
          <w:sz w:val="22"/>
          <w:szCs w:val="22"/>
        </w:rPr>
        <w:t>the study</w:t>
      </w:r>
      <w:r w:rsidRPr="000C0D39">
        <w:rPr>
          <w:rFonts w:asciiTheme="minorHAnsi" w:hAnsiTheme="minorHAnsi" w:cstheme="minorHAnsi"/>
          <w:sz w:val="22"/>
          <w:szCs w:val="22"/>
        </w:rPr>
        <w:t xml:space="preserve"> adds to the literature on OFCs and how their use can reduce the benefit </w:t>
      </w:r>
      <w:r w:rsidR="000C0A47" w:rsidRPr="000C0D39">
        <w:rPr>
          <w:rFonts w:asciiTheme="minorHAnsi" w:hAnsiTheme="minorHAnsi" w:cstheme="minorHAnsi"/>
          <w:sz w:val="22"/>
          <w:szCs w:val="22"/>
        </w:rPr>
        <w:t xml:space="preserve">of </w:t>
      </w:r>
      <w:r w:rsidRPr="000C0D39">
        <w:rPr>
          <w:rFonts w:asciiTheme="minorHAnsi" w:hAnsiTheme="minorHAnsi" w:cstheme="minorHAnsi"/>
          <w:sz w:val="22"/>
          <w:szCs w:val="22"/>
        </w:rPr>
        <w:t>cro</w:t>
      </w:r>
      <w:r w:rsidR="000C0A47" w:rsidRPr="000C0D39">
        <w:rPr>
          <w:rFonts w:asciiTheme="minorHAnsi" w:hAnsiTheme="minorHAnsi" w:cstheme="minorHAnsi"/>
          <w:sz w:val="22"/>
          <w:szCs w:val="22"/>
        </w:rPr>
        <w:t>s</w:t>
      </w:r>
      <w:r w:rsidRPr="000C0D39">
        <w:rPr>
          <w:rFonts w:asciiTheme="minorHAnsi" w:hAnsiTheme="minorHAnsi" w:cstheme="minorHAnsi"/>
          <w:sz w:val="22"/>
          <w:szCs w:val="22"/>
        </w:rPr>
        <w:t>s-listing and home</w:t>
      </w:r>
      <w:r w:rsidR="000C0A47" w:rsidRPr="000C0D39">
        <w:rPr>
          <w:rFonts w:asciiTheme="minorHAnsi" w:hAnsiTheme="minorHAnsi" w:cstheme="minorHAnsi"/>
          <w:sz w:val="22"/>
          <w:szCs w:val="22"/>
        </w:rPr>
        <w:t>-</w:t>
      </w:r>
      <w:r w:rsidRPr="000C0D39">
        <w:rPr>
          <w:rFonts w:asciiTheme="minorHAnsi" w:hAnsiTheme="minorHAnsi" w:cstheme="minorHAnsi"/>
          <w:sz w:val="22"/>
          <w:szCs w:val="22"/>
        </w:rPr>
        <w:t xml:space="preserve">country </w:t>
      </w:r>
      <w:proofErr w:type="gramStart"/>
      <w:r w:rsidRPr="000C0D39">
        <w:rPr>
          <w:rFonts w:asciiTheme="minorHAnsi" w:hAnsiTheme="minorHAnsi" w:cstheme="minorHAnsi"/>
          <w:sz w:val="22"/>
          <w:szCs w:val="22"/>
        </w:rPr>
        <w:t>governance  on</w:t>
      </w:r>
      <w:proofErr w:type="gramEnd"/>
      <w:r w:rsidRPr="000C0D39">
        <w:rPr>
          <w:rFonts w:asciiTheme="minorHAnsi" w:hAnsiTheme="minorHAnsi" w:cstheme="minorHAnsi"/>
          <w:sz w:val="22"/>
          <w:szCs w:val="22"/>
        </w:rPr>
        <w:t xml:space="preserve"> accounting quality.</w:t>
      </w:r>
    </w:p>
    <w:p w14:paraId="0ADA73C8" w14:textId="12E483C1" w:rsidR="00B60435" w:rsidRPr="000C0D39" w:rsidRDefault="002A52E0" w:rsidP="00B60435">
      <w:pPr>
        <w:pStyle w:val="NormalWeb"/>
        <w:rPr>
          <w:rFonts w:asciiTheme="minorHAnsi" w:hAnsiTheme="minorHAnsi" w:cstheme="minorHAnsi"/>
          <w:sz w:val="22"/>
          <w:szCs w:val="22"/>
        </w:rPr>
      </w:pPr>
      <w:r w:rsidRPr="000C0D39">
        <w:rPr>
          <w:rFonts w:ascii="TimesNewRomanPSMT" w:hAnsi="TimesNewRomanPSMT"/>
          <w:sz w:val="22"/>
          <w:szCs w:val="22"/>
        </w:rPr>
        <w:lastRenderedPageBreak/>
        <w:t xml:space="preserve"> </w:t>
      </w:r>
      <w:r w:rsidR="00B60435" w:rsidRPr="000C0D39">
        <w:rPr>
          <w:rFonts w:asciiTheme="minorHAnsi" w:hAnsiTheme="minorHAnsi" w:cstheme="minorHAnsi"/>
          <w:sz w:val="22"/>
          <w:szCs w:val="22"/>
        </w:rPr>
        <w:t>“Our study underscores, to regulators and investors, the co-existence of international mobility of good governance and bad governance for MNCs. Therefore, it is important to enhance monitoring efforts for MNCs with opaque and complex structures, to better detect opportunistic earnings management,” the study concludes</w:t>
      </w:r>
      <w:r w:rsidR="003D69C7" w:rsidRPr="000C0D39">
        <w:rPr>
          <w:rFonts w:asciiTheme="minorHAnsi" w:hAnsiTheme="minorHAnsi" w:cstheme="minorHAnsi"/>
          <w:sz w:val="22"/>
          <w:szCs w:val="22"/>
        </w:rPr>
        <w:t>.</w:t>
      </w:r>
    </w:p>
    <w:p w14:paraId="13EEB46A" w14:textId="77777777" w:rsidR="000C0A47" w:rsidRPr="000C0A47" w:rsidRDefault="000C0A47" w:rsidP="000C0A47">
      <w:pPr>
        <w:rPr>
          <w:lang w:eastAsia="en-CA"/>
        </w:rPr>
      </w:pPr>
    </w:p>
    <w:p w14:paraId="362AB10F" w14:textId="1F07DC7D" w:rsidR="00FF7F2B" w:rsidRPr="000C0D39" w:rsidRDefault="00FF7F2B" w:rsidP="000C0A47">
      <w:pPr>
        <w:spacing w:line="276" w:lineRule="auto"/>
        <w:rPr>
          <w:rFonts w:eastAsia="Times New Roman" w:cs="Arial"/>
          <w:color w:val="000000"/>
          <w:lang w:eastAsia="en-CA"/>
        </w:rPr>
      </w:pPr>
    </w:p>
    <w:p w14:paraId="5B89CD4C" w14:textId="4B793104" w:rsidR="000C0D39" w:rsidRPr="000C0D39" w:rsidRDefault="000318AC" w:rsidP="000C0A47">
      <w:pPr>
        <w:spacing w:line="276" w:lineRule="auto"/>
        <w:rPr>
          <w:rFonts w:eastAsia="Times New Roman" w:cs="Arial"/>
          <w:color w:val="000000"/>
          <w:sz w:val="22"/>
          <w:szCs w:val="22"/>
          <w:lang w:eastAsia="en-CA"/>
        </w:rPr>
      </w:pPr>
      <w:r>
        <w:rPr>
          <w:rFonts w:eastAsia="Times New Roman" w:cstheme="minorHAnsi"/>
          <w:noProof/>
          <w:color w:val="000000"/>
          <w:lang w:eastAsia="en-CA"/>
        </w:rPr>
        <w:drawing>
          <wp:anchor distT="0" distB="0" distL="114300" distR="114300" simplePos="0" relativeHeight="251661312" behindDoc="0" locked="0" layoutInCell="1" allowOverlap="1" wp14:anchorId="27C84F68" wp14:editId="0BA3A208">
            <wp:simplePos x="0" y="0"/>
            <wp:positionH relativeFrom="column">
              <wp:posOffset>3924300</wp:posOffset>
            </wp:positionH>
            <wp:positionV relativeFrom="paragraph">
              <wp:posOffset>7397750</wp:posOffset>
            </wp:positionV>
            <wp:extent cx="2677911"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911" cy="640715"/>
                    </a:xfrm>
                    <a:prstGeom prst="rect">
                      <a:avLst/>
                    </a:prstGeom>
                  </pic:spPr>
                </pic:pic>
              </a:graphicData>
            </a:graphic>
            <wp14:sizeRelH relativeFrom="margin">
              <wp14:pctWidth>0</wp14:pctWidth>
            </wp14:sizeRelH>
            <wp14:sizeRelV relativeFrom="margin">
              <wp14:pctHeight>0</wp14:pctHeight>
            </wp14:sizeRelV>
          </wp:anchor>
        </w:drawing>
      </w:r>
      <w:r w:rsidR="000C0D39" w:rsidRPr="000C0D39">
        <w:rPr>
          <w:rFonts w:eastAsia="Times New Roman" w:cs="Arial"/>
          <w:color w:val="000000"/>
          <w:sz w:val="22"/>
          <w:szCs w:val="22"/>
          <w:lang w:eastAsia="en-CA"/>
        </w:rPr>
        <w:t xml:space="preserve">Any Questions? Please contact one of the authors: </w:t>
      </w:r>
      <w:proofErr w:type="spellStart"/>
      <w:r w:rsidR="000C0D39" w:rsidRPr="000C0D39">
        <w:rPr>
          <w:rFonts w:eastAsia="Times New Roman" w:cs="Arial"/>
          <w:color w:val="000000"/>
          <w:sz w:val="22"/>
          <w:szCs w:val="22"/>
          <w:lang w:eastAsia="en-CA"/>
        </w:rPr>
        <w:t>Tiemei</w:t>
      </w:r>
      <w:proofErr w:type="spellEnd"/>
      <w:r w:rsidR="000C0D39" w:rsidRPr="000C0D39">
        <w:rPr>
          <w:rFonts w:eastAsia="Times New Roman" w:cs="Arial"/>
          <w:color w:val="000000"/>
          <w:sz w:val="22"/>
          <w:szCs w:val="22"/>
          <w:lang w:eastAsia="en-CA"/>
        </w:rPr>
        <w:t xml:space="preserve"> Li at </w:t>
      </w:r>
      <w:hyperlink r:id="rId7" w:history="1">
        <w:r w:rsidR="000C0D39" w:rsidRPr="000C0D39">
          <w:rPr>
            <w:rStyle w:val="Hyperlink"/>
            <w:rFonts w:eastAsia="Times New Roman" w:cs="Arial"/>
            <w:sz w:val="22"/>
            <w:szCs w:val="22"/>
            <w:lang w:eastAsia="en-CA"/>
          </w:rPr>
          <w:t>tmsl@telfer.uottawa.ca</w:t>
        </w:r>
      </w:hyperlink>
      <w:r w:rsidR="000C0D39" w:rsidRPr="000C0D39">
        <w:rPr>
          <w:rFonts w:eastAsia="Times New Roman" w:cs="Arial"/>
          <w:color w:val="000000"/>
          <w:sz w:val="22"/>
          <w:szCs w:val="22"/>
          <w:lang w:eastAsia="en-CA"/>
        </w:rPr>
        <w:t xml:space="preserve">; Michel Magnan at </w:t>
      </w:r>
      <w:hyperlink r:id="rId8" w:history="1">
        <w:r w:rsidR="000C0D39" w:rsidRPr="000C0D39">
          <w:rPr>
            <w:rStyle w:val="Hyperlink"/>
            <w:rFonts w:eastAsia="Times New Roman" w:cs="Arial"/>
            <w:sz w:val="22"/>
            <w:szCs w:val="22"/>
            <w:lang w:eastAsia="en-CA"/>
          </w:rPr>
          <w:t>michel.magnan@concordia.ca</w:t>
        </w:r>
      </w:hyperlink>
      <w:r w:rsidR="000C0D39" w:rsidRPr="000C0D39">
        <w:rPr>
          <w:rFonts w:eastAsia="Times New Roman" w:cs="Arial"/>
          <w:color w:val="000000"/>
          <w:sz w:val="22"/>
          <w:szCs w:val="22"/>
          <w:lang w:eastAsia="en-CA"/>
        </w:rPr>
        <w:t xml:space="preserve">; </w:t>
      </w:r>
      <w:proofErr w:type="spellStart"/>
      <w:r w:rsidR="000C0D39" w:rsidRPr="000C0D39">
        <w:rPr>
          <w:rFonts w:eastAsia="Times New Roman" w:cs="Arial"/>
          <w:color w:val="000000"/>
          <w:sz w:val="22"/>
          <w:szCs w:val="22"/>
          <w:lang w:eastAsia="en-CA"/>
        </w:rPr>
        <w:t>Yaqi</w:t>
      </w:r>
      <w:proofErr w:type="spellEnd"/>
      <w:r w:rsidR="000C0D39" w:rsidRPr="000C0D39">
        <w:rPr>
          <w:rFonts w:eastAsia="Times New Roman" w:cs="Arial"/>
          <w:color w:val="000000"/>
          <w:sz w:val="22"/>
          <w:szCs w:val="22"/>
          <w:lang w:eastAsia="en-CA"/>
        </w:rPr>
        <w:t xml:space="preserve"> Shi at </w:t>
      </w:r>
      <w:hyperlink r:id="rId9" w:history="1">
        <w:r w:rsidR="000C0D39" w:rsidRPr="000C0D39">
          <w:rPr>
            <w:rStyle w:val="Hyperlink"/>
            <w:rFonts w:eastAsia="Times New Roman" w:cs="Arial"/>
            <w:sz w:val="22"/>
            <w:szCs w:val="22"/>
            <w:lang w:eastAsia="en-CA"/>
          </w:rPr>
          <w:t>yshi@ivey.ca</w:t>
        </w:r>
      </w:hyperlink>
      <w:r w:rsidR="000C0D39" w:rsidRPr="000C0D39">
        <w:rPr>
          <w:rFonts w:eastAsia="Times New Roman" w:cs="Arial"/>
          <w:color w:val="000000"/>
          <w:sz w:val="22"/>
          <w:szCs w:val="22"/>
          <w:lang w:eastAsia="en-CA"/>
        </w:rPr>
        <w:t xml:space="preserve"> </w:t>
      </w:r>
    </w:p>
    <w:sectPr w:rsidR="000C0D39" w:rsidRPr="000C0D39" w:rsidSect="000C0D3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14BD" w14:textId="77777777" w:rsidR="00B55A4F" w:rsidRDefault="00B55A4F" w:rsidP="000318AC">
      <w:r>
        <w:separator/>
      </w:r>
    </w:p>
  </w:endnote>
  <w:endnote w:type="continuationSeparator" w:id="0">
    <w:p w14:paraId="751AF28E" w14:textId="77777777" w:rsidR="00B55A4F" w:rsidRDefault="00B55A4F" w:rsidP="0003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37945"/>
      <w:docPartObj>
        <w:docPartGallery w:val="Page Numbers (Bottom of Page)"/>
        <w:docPartUnique/>
      </w:docPartObj>
    </w:sdtPr>
    <w:sdtEndPr>
      <w:rPr>
        <w:rFonts w:ascii="Arial" w:hAnsi="Arial" w:cs="Arial"/>
        <w:noProof/>
        <w:sz w:val="20"/>
        <w:szCs w:val="20"/>
      </w:rPr>
    </w:sdtEndPr>
    <w:sdtContent>
      <w:p w14:paraId="5C108B49" w14:textId="32C3D8A7" w:rsidR="000318AC" w:rsidRPr="000318AC" w:rsidRDefault="000318AC">
        <w:pPr>
          <w:pStyle w:val="Footer"/>
          <w:jc w:val="right"/>
          <w:rPr>
            <w:rFonts w:ascii="Arial" w:hAnsi="Arial" w:cs="Arial"/>
          </w:rPr>
        </w:pPr>
        <w:r w:rsidRPr="000318AC">
          <w:rPr>
            <w:rFonts w:ascii="Arial" w:hAnsi="Arial" w:cs="Arial"/>
            <w:sz w:val="20"/>
            <w:szCs w:val="20"/>
          </w:rPr>
          <w:fldChar w:fldCharType="begin"/>
        </w:r>
        <w:r w:rsidRPr="000318AC">
          <w:rPr>
            <w:rFonts w:ascii="Arial" w:hAnsi="Arial" w:cs="Arial"/>
            <w:sz w:val="20"/>
            <w:szCs w:val="20"/>
          </w:rPr>
          <w:instrText xml:space="preserve"> PAGE   \* MERGEFORMAT </w:instrText>
        </w:r>
        <w:r w:rsidRPr="000318AC">
          <w:rPr>
            <w:rFonts w:ascii="Arial" w:hAnsi="Arial" w:cs="Arial"/>
            <w:sz w:val="20"/>
            <w:szCs w:val="20"/>
          </w:rPr>
          <w:fldChar w:fldCharType="separate"/>
        </w:r>
        <w:r w:rsidRPr="000318AC">
          <w:rPr>
            <w:rFonts w:ascii="Arial" w:hAnsi="Arial" w:cs="Arial"/>
            <w:noProof/>
            <w:sz w:val="20"/>
            <w:szCs w:val="20"/>
          </w:rPr>
          <w:t>2</w:t>
        </w:r>
        <w:r w:rsidRPr="000318AC">
          <w:rPr>
            <w:rFonts w:ascii="Arial" w:hAnsi="Arial" w:cs="Arial"/>
            <w:noProof/>
            <w:sz w:val="20"/>
            <w:szCs w:val="20"/>
          </w:rPr>
          <w:fldChar w:fldCharType="end"/>
        </w:r>
      </w:p>
    </w:sdtContent>
  </w:sdt>
  <w:p w14:paraId="17537647" w14:textId="77777777" w:rsidR="000318AC" w:rsidRDefault="0003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9FAE" w14:textId="77777777" w:rsidR="00B55A4F" w:rsidRDefault="00B55A4F" w:rsidP="000318AC">
      <w:r>
        <w:separator/>
      </w:r>
    </w:p>
  </w:footnote>
  <w:footnote w:type="continuationSeparator" w:id="0">
    <w:p w14:paraId="780733E0" w14:textId="77777777" w:rsidR="00B55A4F" w:rsidRDefault="00B55A4F" w:rsidP="0003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E8"/>
    <w:rsid w:val="0002623E"/>
    <w:rsid w:val="000318AC"/>
    <w:rsid w:val="000C0A47"/>
    <w:rsid w:val="000C0D39"/>
    <w:rsid w:val="00134823"/>
    <w:rsid w:val="001806FF"/>
    <w:rsid w:val="001B1157"/>
    <w:rsid w:val="001D4A98"/>
    <w:rsid w:val="001F1A99"/>
    <w:rsid w:val="00280FA8"/>
    <w:rsid w:val="002A52E0"/>
    <w:rsid w:val="002B4C99"/>
    <w:rsid w:val="00391B04"/>
    <w:rsid w:val="003D69C7"/>
    <w:rsid w:val="00400A68"/>
    <w:rsid w:val="00412E3C"/>
    <w:rsid w:val="004D3C1E"/>
    <w:rsid w:val="00511CD8"/>
    <w:rsid w:val="00524CEC"/>
    <w:rsid w:val="005453EF"/>
    <w:rsid w:val="00552875"/>
    <w:rsid w:val="005656A8"/>
    <w:rsid w:val="005F7A5D"/>
    <w:rsid w:val="00641146"/>
    <w:rsid w:val="006523C1"/>
    <w:rsid w:val="0068797D"/>
    <w:rsid w:val="007375C8"/>
    <w:rsid w:val="007502AB"/>
    <w:rsid w:val="007A39ED"/>
    <w:rsid w:val="007B64CF"/>
    <w:rsid w:val="007D1043"/>
    <w:rsid w:val="008E5BA0"/>
    <w:rsid w:val="009178B8"/>
    <w:rsid w:val="009A2BAC"/>
    <w:rsid w:val="00AC4FE5"/>
    <w:rsid w:val="00AD3FCF"/>
    <w:rsid w:val="00B32508"/>
    <w:rsid w:val="00B55A4F"/>
    <w:rsid w:val="00B60435"/>
    <w:rsid w:val="00B95BE5"/>
    <w:rsid w:val="00BF2238"/>
    <w:rsid w:val="00C669C4"/>
    <w:rsid w:val="00CE0A60"/>
    <w:rsid w:val="00D05EE8"/>
    <w:rsid w:val="00D34689"/>
    <w:rsid w:val="00D54F30"/>
    <w:rsid w:val="00DD1609"/>
    <w:rsid w:val="00DE1486"/>
    <w:rsid w:val="00E55DDD"/>
    <w:rsid w:val="00EE2A2C"/>
    <w:rsid w:val="00F00905"/>
    <w:rsid w:val="00F4041F"/>
    <w:rsid w:val="00F86F99"/>
    <w:rsid w:val="00FA3A8C"/>
    <w:rsid w:val="00FF7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9FA8"/>
  <w15:chartTrackingRefBased/>
  <w15:docId w15:val="{9B9193B3-828B-A84F-8B6F-AEBDF514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9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48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C0D39"/>
    <w:rPr>
      <w:color w:val="0563C1" w:themeColor="hyperlink"/>
      <w:u w:val="single"/>
    </w:rPr>
  </w:style>
  <w:style w:type="character" w:styleId="UnresolvedMention">
    <w:name w:val="Unresolved Mention"/>
    <w:basedOn w:val="DefaultParagraphFont"/>
    <w:uiPriority w:val="99"/>
    <w:semiHidden/>
    <w:unhideWhenUsed/>
    <w:rsid w:val="000C0D39"/>
    <w:rPr>
      <w:color w:val="605E5C"/>
      <w:shd w:val="clear" w:color="auto" w:fill="E1DFDD"/>
    </w:rPr>
  </w:style>
  <w:style w:type="paragraph" w:styleId="Header">
    <w:name w:val="header"/>
    <w:basedOn w:val="Normal"/>
    <w:link w:val="HeaderChar"/>
    <w:uiPriority w:val="99"/>
    <w:unhideWhenUsed/>
    <w:rsid w:val="000318AC"/>
    <w:pPr>
      <w:tabs>
        <w:tab w:val="center" w:pos="4680"/>
        <w:tab w:val="right" w:pos="9360"/>
      </w:tabs>
    </w:pPr>
  </w:style>
  <w:style w:type="character" w:customStyle="1" w:styleId="HeaderChar">
    <w:name w:val="Header Char"/>
    <w:basedOn w:val="DefaultParagraphFont"/>
    <w:link w:val="Header"/>
    <w:uiPriority w:val="99"/>
    <w:rsid w:val="000318AC"/>
  </w:style>
  <w:style w:type="paragraph" w:styleId="Footer">
    <w:name w:val="footer"/>
    <w:basedOn w:val="Normal"/>
    <w:link w:val="FooterChar"/>
    <w:uiPriority w:val="99"/>
    <w:unhideWhenUsed/>
    <w:rsid w:val="000318AC"/>
    <w:pPr>
      <w:tabs>
        <w:tab w:val="center" w:pos="4680"/>
        <w:tab w:val="right" w:pos="9360"/>
      </w:tabs>
    </w:pPr>
  </w:style>
  <w:style w:type="character" w:customStyle="1" w:styleId="FooterChar">
    <w:name w:val="Footer Char"/>
    <w:basedOn w:val="DefaultParagraphFont"/>
    <w:link w:val="Footer"/>
    <w:uiPriority w:val="99"/>
    <w:rsid w:val="000318AC"/>
  </w:style>
  <w:style w:type="character" w:customStyle="1" w:styleId="Heading1Char">
    <w:name w:val="Heading 1 Char"/>
    <w:basedOn w:val="DefaultParagraphFont"/>
    <w:link w:val="Heading1"/>
    <w:uiPriority w:val="9"/>
    <w:rsid w:val="00C669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6508">
      <w:bodyDiv w:val="1"/>
      <w:marLeft w:val="0"/>
      <w:marRight w:val="0"/>
      <w:marTop w:val="0"/>
      <w:marBottom w:val="0"/>
      <w:divBdr>
        <w:top w:val="none" w:sz="0" w:space="0" w:color="auto"/>
        <w:left w:val="none" w:sz="0" w:space="0" w:color="auto"/>
        <w:bottom w:val="none" w:sz="0" w:space="0" w:color="auto"/>
        <w:right w:val="none" w:sz="0" w:space="0" w:color="auto"/>
      </w:divBdr>
      <w:divsChild>
        <w:div w:id="1330253578">
          <w:marLeft w:val="0"/>
          <w:marRight w:val="0"/>
          <w:marTop w:val="0"/>
          <w:marBottom w:val="0"/>
          <w:divBdr>
            <w:top w:val="none" w:sz="0" w:space="0" w:color="auto"/>
            <w:left w:val="none" w:sz="0" w:space="0" w:color="auto"/>
            <w:bottom w:val="none" w:sz="0" w:space="0" w:color="auto"/>
            <w:right w:val="none" w:sz="0" w:space="0" w:color="auto"/>
          </w:divBdr>
          <w:divsChild>
            <w:div w:id="1683389064">
              <w:marLeft w:val="0"/>
              <w:marRight w:val="0"/>
              <w:marTop w:val="0"/>
              <w:marBottom w:val="0"/>
              <w:divBdr>
                <w:top w:val="none" w:sz="0" w:space="0" w:color="auto"/>
                <w:left w:val="none" w:sz="0" w:space="0" w:color="auto"/>
                <w:bottom w:val="none" w:sz="0" w:space="0" w:color="auto"/>
                <w:right w:val="none" w:sz="0" w:space="0" w:color="auto"/>
              </w:divBdr>
              <w:divsChild>
                <w:div w:id="12200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4700">
      <w:bodyDiv w:val="1"/>
      <w:marLeft w:val="0"/>
      <w:marRight w:val="0"/>
      <w:marTop w:val="0"/>
      <w:marBottom w:val="0"/>
      <w:divBdr>
        <w:top w:val="none" w:sz="0" w:space="0" w:color="auto"/>
        <w:left w:val="none" w:sz="0" w:space="0" w:color="auto"/>
        <w:bottom w:val="none" w:sz="0" w:space="0" w:color="auto"/>
        <w:right w:val="none" w:sz="0" w:space="0" w:color="auto"/>
      </w:divBdr>
      <w:divsChild>
        <w:div w:id="2037730373">
          <w:marLeft w:val="0"/>
          <w:marRight w:val="0"/>
          <w:marTop w:val="0"/>
          <w:marBottom w:val="0"/>
          <w:divBdr>
            <w:top w:val="none" w:sz="0" w:space="0" w:color="auto"/>
            <w:left w:val="none" w:sz="0" w:space="0" w:color="auto"/>
            <w:bottom w:val="none" w:sz="0" w:space="0" w:color="auto"/>
            <w:right w:val="none" w:sz="0" w:space="0" w:color="auto"/>
          </w:divBdr>
          <w:divsChild>
            <w:div w:id="549609842">
              <w:marLeft w:val="0"/>
              <w:marRight w:val="0"/>
              <w:marTop w:val="0"/>
              <w:marBottom w:val="0"/>
              <w:divBdr>
                <w:top w:val="none" w:sz="0" w:space="0" w:color="auto"/>
                <w:left w:val="none" w:sz="0" w:space="0" w:color="auto"/>
                <w:bottom w:val="none" w:sz="0" w:space="0" w:color="auto"/>
                <w:right w:val="none" w:sz="0" w:space="0" w:color="auto"/>
              </w:divBdr>
              <w:divsChild>
                <w:div w:id="2047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976">
      <w:bodyDiv w:val="1"/>
      <w:marLeft w:val="0"/>
      <w:marRight w:val="0"/>
      <w:marTop w:val="0"/>
      <w:marBottom w:val="0"/>
      <w:divBdr>
        <w:top w:val="none" w:sz="0" w:space="0" w:color="auto"/>
        <w:left w:val="none" w:sz="0" w:space="0" w:color="auto"/>
        <w:bottom w:val="none" w:sz="0" w:space="0" w:color="auto"/>
        <w:right w:val="none" w:sz="0" w:space="0" w:color="auto"/>
      </w:divBdr>
      <w:divsChild>
        <w:div w:id="1438141667">
          <w:marLeft w:val="0"/>
          <w:marRight w:val="0"/>
          <w:marTop w:val="0"/>
          <w:marBottom w:val="0"/>
          <w:divBdr>
            <w:top w:val="none" w:sz="0" w:space="0" w:color="auto"/>
            <w:left w:val="none" w:sz="0" w:space="0" w:color="auto"/>
            <w:bottom w:val="none" w:sz="0" w:space="0" w:color="auto"/>
            <w:right w:val="none" w:sz="0" w:space="0" w:color="auto"/>
          </w:divBdr>
          <w:divsChild>
            <w:div w:id="358433876">
              <w:marLeft w:val="0"/>
              <w:marRight w:val="0"/>
              <w:marTop w:val="0"/>
              <w:marBottom w:val="0"/>
              <w:divBdr>
                <w:top w:val="none" w:sz="0" w:space="0" w:color="auto"/>
                <w:left w:val="none" w:sz="0" w:space="0" w:color="auto"/>
                <w:bottom w:val="none" w:sz="0" w:space="0" w:color="auto"/>
                <w:right w:val="none" w:sz="0" w:space="0" w:color="auto"/>
              </w:divBdr>
              <w:divsChild>
                <w:div w:id="718241338">
                  <w:marLeft w:val="0"/>
                  <w:marRight w:val="0"/>
                  <w:marTop w:val="0"/>
                  <w:marBottom w:val="0"/>
                  <w:divBdr>
                    <w:top w:val="none" w:sz="0" w:space="0" w:color="auto"/>
                    <w:left w:val="none" w:sz="0" w:space="0" w:color="auto"/>
                    <w:bottom w:val="none" w:sz="0" w:space="0" w:color="auto"/>
                    <w:right w:val="none" w:sz="0" w:space="0" w:color="auto"/>
                  </w:divBdr>
                </w:div>
              </w:divsChild>
            </w:div>
            <w:div w:id="212039003">
              <w:marLeft w:val="0"/>
              <w:marRight w:val="0"/>
              <w:marTop w:val="0"/>
              <w:marBottom w:val="0"/>
              <w:divBdr>
                <w:top w:val="none" w:sz="0" w:space="0" w:color="auto"/>
                <w:left w:val="none" w:sz="0" w:space="0" w:color="auto"/>
                <w:bottom w:val="none" w:sz="0" w:space="0" w:color="auto"/>
                <w:right w:val="none" w:sz="0" w:space="0" w:color="auto"/>
              </w:divBdr>
              <w:divsChild>
                <w:div w:id="19033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6987">
          <w:marLeft w:val="0"/>
          <w:marRight w:val="0"/>
          <w:marTop w:val="0"/>
          <w:marBottom w:val="0"/>
          <w:divBdr>
            <w:top w:val="none" w:sz="0" w:space="0" w:color="auto"/>
            <w:left w:val="none" w:sz="0" w:space="0" w:color="auto"/>
            <w:bottom w:val="none" w:sz="0" w:space="0" w:color="auto"/>
            <w:right w:val="none" w:sz="0" w:space="0" w:color="auto"/>
          </w:divBdr>
          <w:divsChild>
            <w:div w:id="1450320158">
              <w:marLeft w:val="0"/>
              <w:marRight w:val="0"/>
              <w:marTop w:val="0"/>
              <w:marBottom w:val="0"/>
              <w:divBdr>
                <w:top w:val="none" w:sz="0" w:space="0" w:color="auto"/>
                <w:left w:val="none" w:sz="0" w:space="0" w:color="auto"/>
                <w:bottom w:val="none" w:sz="0" w:space="0" w:color="auto"/>
                <w:right w:val="none" w:sz="0" w:space="0" w:color="auto"/>
              </w:divBdr>
              <w:divsChild>
                <w:div w:id="7654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4460">
      <w:bodyDiv w:val="1"/>
      <w:marLeft w:val="0"/>
      <w:marRight w:val="0"/>
      <w:marTop w:val="0"/>
      <w:marBottom w:val="0"/>
      <w:divBdr>
        <w:top w:val="none" w:sz="0" w:space="0" w:color="auto"/>
        <w:left w:val="none" w:sz="0" w:space="0" w:color="auto"/>
        <w:bottom w:val="none" w:sz="0" w:space="0" w:color="auto"/>
        <w:right w:val="none" w:sz="0" w:space="0" w:color="auto"/>
      </w:divBdr>
      <w:divsChild>
        <w:div w:id="1263295155">
          <w:marLeft w:val="0"/>
          <w:marRight w:val="0"/>
          <w:marTop w:val="0"/>
          <w:marBottom w:val="0"/>
          <w:divBdr>
            <w:top w:val="none" w:sz="0" w:space="0" w:color="auto"/>
            <w:left w:val="none" w:sz="0" w:space="0" w:color="auto"/>
            <w:bottom w:val="none" w:sz="0" w:space="0" w:color="auto"/>
            <w:right w:val="none" w:sz="0" w:space="0" w:color="auto"/>
          </w:divBdr>
          <w:divsChild>
            <w:div w:id="347372588">
              <w:marLeft w:val="0"/>
              <w:marRight w:val="0"/>
              <w:marTop w:val="0"/>
              <w:marBottom w:val="0"/>
              <w:divBdr>
                <w:top w:val="none" w:sz="0" w:space="0" w:color="auto"/>
                <w:left w:val="none" w:sz="0" w:space="0" w:color="auto"/>
                <w:bottom w:val="none" w:sz="0" w:space="0" w:color="auto"/>
                <w:right w:val="none" w:sz="0" w:space="0" w:color="auto"/>
              </w:divBdr>
              <w:divsChild>
                <w:div w:id="2749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749">
      <w:bodyDiv w:val="1"/>
      <w:marLeft w:val="0"/>
      <w:marRight w:val="0"/>
      <w:marTop w:val="0"/>
      <w:marBottom w:val="0"/>
      <w:divBdr>
        <w:top w:val="none" w:sz="0" w:space="0" w:color="auto"/>
        <w:left w:val="none" w:sz="0" w:space="0" w:color="auto"/>
        <w:bottom w:val="none" w:sz="0" w:space="0" w:color="auto"/>
        <w:right w:val="none" w:sz="0" w:space="0" w:color="auto"/>
      </w:divBdr>
      <w:divsChild>
        <w:div w:id="1168985368">
          <w:marLeft w:val="0"/>
          <w:marRight w:val="0"/>
          <w:marTop w:val="0"/>
          <w:marBottom w:val="0"/>
          <w:divBdr>
            <w:top w:val="none" w:sz="0" w:space="0" w:color="auto"/>
            <w:left w:val="none" w:sz="0" w:space="0" w:color="auto"/>
            <w:bottom w:val="none" w:sz="0" w:space="0" w:color="auto"/>
            <w:right w:val="none" w:sz="0" w:space="0" w:color="auto"/>
          </w:divBdr>
          <w:divsChild>
            <w:div w:id="1246917952">
              <w:marLeft w:val="0"/>
              <w:marRight w:val="0"/>
              <w:marTop w:val="0"/>
              <w:marBottom w:val="0"/>
              <w:divBdr>
                <w:top w:val="none" w:sz="0" w:space="0" w:color="auto"/>
                <w:left w:val="none" w:sz="0" w:space="0" w:color="auto"/>
                <w:bottom w:val="none" w:sz="0" w:space="0" w:color="auto"/>
                <w:right w:val="none" w:sz="0" w:space="0" w:color="auto"/>
              </w:divBdr>
              <w:divsChild>
                <w:div w:id="2123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1127">
      <w:bodyDiv w:val="1"/>
      <w:marLeft w:val="0"/>
      <w:marRight w:val="0"/>
      <w:marTop w:val="0"/>
      <w:marBottom w:val="0"/>
      <w:divBdr>
        <w:top w:val="none" w:sz="0" w:space="0" w:color="auto"/>
        <w:left w:val="none" w:sz="0" w:space="0" w:color="auto"/>
        <w:bottom w:val="none" w:sz="0" w:space="0" w:color="auto"/>
        <w:right w:val="none" w:sz="0" w:space="0" w:color="auto"/>
      </w:divBdr>
      <w:divsChild>
        <w:div w:id="536433912">
          <w:marLeft w:val="0"/>
          <w:marRight w:val="0"/>
          <w:marTop w:val="0"/>
          <w:marBottom w:val="0"/>
          <w:divBdr>
            <w:top w:val="none" w:sz="0" w:space="0" w:color="auto"/>
            <w:left w:val="none" w:sz="0" w:space="0" w:color="auto"/>
            <w:bottom w:val="none" w:sz="0" w:space="0" w:color="auto"/>
            <w:right w:val="none" w:sz="0" w:space="0" w:color="auto"/>
          </w:divBdr>
          <w:divsChild>
            <w:div w:id="1582325691">
              <w:marLeft w:val="0"/>
              <w:marRight w:val="0"/>
              <w:marTop w:val="0"/>
              <w:marBottom w:val="0"/>
              <w:divBdr>
                <w:top w:val="none" w:sz="0" w:space="0" w:color="auto"/>
                <w:left w:val="none" w:sz="0" w:space="0" w:color="auto"/>
                <w:bottom w:val="none" w:sz="0" w:space="0" w:color="auto"/>
                <w:right w:val="none" w:sz="0" w:space="0" w:color="auto"/>
              </w:divBdr>
              <w:divsChild>
                <w:div w:id="20649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501">
      <w:bodyDiv w:val="1"/>
      <w:marLeft w:val="0"/>
      <w:marRight w:val="0"/>
      <w:marTop w:val="0"/>
      <w:marBottom w:val="0"/>
      <w:divBdr>
        <w:top w:val="none" w:sz="0" w:space="0" w:color="auto"/>
        <w:left w:val="none" w:sz="0" w:space="0" w:color="auto"/>
        <w:bottom w:val="none" w:sz="0" w:space="0" w:color="auto"/>
        <w:right w:val="none" w:sz="0" w:space="0" w:color="auto"/>
      </w:divBdr>
      <w:divsChild>
        <w:div w:id="142620080">
          <w:marLeft w:val="0"/>
          <w:marRight w:val="0"/>
          <w:marTop w:val="0"/>
          <w:marBottom w:val="0"/>
          <w:divBdr>
            <w:top w:val="none" w:sz="0" w:space="0" w:color="auto"/>
            <w:left w:val="none" w:sz="0" w:space="0" w:color="auto"/>
            <w:bottom w:val="none" w:sz="0" w:space="0" w:color="auto"/>
            <w:right w:val="none" w:sz="0" w:space="0" w:color="auto"/>
          </w:divBdr>
          <w:divsChild>
            <w:div w:id="1392927047">
              <w:marLeft w:val="0"/>
              <w:marRight w:val="0"/>
              <w:marTop w:val="0"/>
              <w:marBottom w:val="0"/>
              <w:divBdr>
                <w:top w:val="none" w:sz="0" w:space="0" w:color="auto"/>
                <w:left w:val="none" w:sz="0" w:space="0" w:color="auto"/>
                <w:bottom w:val="none" w:sz="0" w:space="0" w:color="auto"/>
                <w:right w:val="none" w:sz="0" w:space="0" w:color="auto"/>
              </w:divBdr>
              <w:divsChild>
                <w:div w:id="4994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3841">
      <w:bodyDiv w:val="1"/>
      <w:marLeft w:val="0"/>
      <w:marRight w:val="0"/>
      <w:marTop w:val="0"/>
      <w:marBottom w:val="0"/>
      <w:divBdr>
        <w:top w:val="none" w:sz="0" w:space="0" w:color="auto"/>
        <w:left w:val="none" w:sz="0" w:space="0" w:color="auto"/>
        <w:bottom w:val="none" w:sz="0" w:space="0" w:color="auto"/>
        <w:right w:val="none" w:sz="0" w:space="0" w:color="auto"/>
      </w:divBdr>
      <w:divsChild>
        <w:div w:id="1615215452">
          <w:marLeft w:val="0"/>
          <w:marRight w:val="0"/>
          <w:marTop w:val="0"/>
          <w:marBottom w:val="0"/>
          <w:divBdr>
            <w:top w:val="none" w:sz="0" w:space="0" w:color="auto"/>
            <w:left w:val="none" w:sz="0" w:space="0" w:color="auto"/>
            <w:bottom w:val="none" w:sz="0" w:space="0" w:color="auto"/>
            <w:right w:val="none" w:sz="0" w:space="0" w:color="auto"/>
          </w:divBdr>
          <w:divsChild>
            <w:div w:id="2068062806">
              <w:marLeft w:val="0"/>
              <w:marRight w:val="0"/>
              <w:marTop w:val="0"/>
              <w:marBottom w:val="0"/>
              <w:divBdr>
                <w:top w:val="none" w:sz="0" w:space="0" w:color="auto"/>
                <w:left w:val="none" w:sz="0" w:space="0" w:color="auto"/>
                <w:bottom w:val="none" w:sz="0" w:space="0" w:color="auto"/>
                <w:right w:val="none" w:sz="0" w:space="0" w:color="auto"/>
              </w:divBdr>
              <w:divsChild>
                <w:div w:id="19617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30177">
      <w:bodyDiv w:val="1"/>
      <w:marLeft w:val="0"/>
      <w:marRight w:val="0"/>
      <w:marTop w:val="0"/>
      <w:marBottom w:val="0"/>
      <w:divBdr>
        <w:top w:val="none" w:sz="0" w:space="0" w:color="auto"/>
        <w:left w:val="none" w:sz="0" w:space="0" w:color="auto"/>
        <w:bottom w:val="none" w:sz="0" w:space="0" w:color="auto"/>
        <w:right w:val="none" w:sz="0" w:space="0" w:color="auto"/>
      </w:divBdr>
      <w:divsChild>
        <w:div w:id="682707602">
          <w:marLeft w:val="0"/>
          <w:marRight w:val="0"/>
          <w:marTop w:val="0"/>
          <w:marBottom w:val="0"/>
          <w:divBdr>
            <w:top w:val="none" w:sz="0" w:space="0" w:color="auto"/>
            <w:left w:val="none" w:sz="0" w:space="0" w:color="auto"/>
            <w:bottom w:val="none" w:sz="0" w:space="0" w:color="auto"/>
            <w:right w:val="none" w:sz="0" w:space="0" w:color="auto"/>
          </w:divBdr>
          <w:divsChild>
            <w:div w:id="268976727">
              <w:marLeft w:val="0"/>
              <w:marRight w:val="0"/>
              <w:marTop w:val="0"/>
              <w:marBottom w:val="0"/>
              <w:divBdr>
                <w:top w:val="none" w:sz="0" w:space="0" w:color="auto"/>
                <w:left w:val="none" w:sz="0" w:space="0" w:color="auto"/>
                <w:bottom w:val="none" w:sz="0" w:space="0" w:color="auto"/>
                <w:right w:val="none" w:sz="0" w:space="0" w:color="auto"/>
              </w:divBdr>
              <w:divsChild>
                <w:div w:id="1217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0546">
      <w:bodyDiv w:val="1"/>
      <w:marLeft w:val="0"/>
      <w:marRight w:val="0"/>
      <w:marTop w:val="0"/>
      <w:marBottom w:val="0"/>
      <w:divBdr>
        <w:top w:val="none" w:sz="0" w:space="0" w:color="auto"/>
        <w:left w:val="none" w:sz="0" w:space="0" w:color="auto"/>
        <w:bottom w:val="none" w:sz="0" w:space="0" w:color="auto"/>
        <w:right w:val="none" w:sz="0" w:space="0" w:color="auto"/>
      </w:divBdr>
      <w:divsChild>
        <w:div w:id="619070167">
          <w:marLeft w:val="0"/>
          <w:marRight w:val="0"/>
          <w:marTop w:val="0"/>
          <w:marBottom w:val="0"/>
          <w:divBdr>
            <w:top w:val="none" w:sz="0" w:space="0" w:color="auto"/>
            <w:left w:val="none" w:sz="0" w:space="0" w:color="auto"/>
            <w:bottom w:val="none" w:sz="0" w:space="0" w:color="auto"/>
            <w:right w:val="none" w:sz="0" w:space="0" w:color="auto"/>
          </w:divBdr>
          <w:divsChild>
            <w:div w:id="131990906">
              <w:marLeft w:val="0"/>
              <w:marRight w:val="0"/>
              <w:marTop w:val="0"/>
              <w:marBottom w:val="0"/>
              <w:divBdr>
                <w:top w:val="none" w:sz="0" w:space="0" w:color="auto"/>
                <w:left w:val="none" w:sz="0" w:space="0" w:color="auto"/>
                <w:bottom w:val="none" w:sz="0" w:space="0" w:color="auto"/>
                <w:right w:val="none" w:sz="0" w:space="0" w:color="auto"/>
              </w:divBdr>
              <w:divsChild>
                <w:div w:id="6431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1641">
      <w:bodyDiv w:val="1"/>
      <w:marLeft w:val="0"/>
      <w:marRight w:val="0"/>
      <w:marTop w:val="0"/>
      <w:marBottom w:val="0"/>
      <w:divBdr>
        <w:top w:val="none" w:sz="0" w:space="0" w:color="auto"/>
        <w:left w:val="none" w:sz="0" w:space="0" w:color="auto"/>
        <w:bottom w:val="none" w:sz="0" w:space="0" w:color="auto"/>
        <w:right w:val="none" w:sz="0" w:space="0" w:color="auto"/>
      </w:divBdr>
      <w:divsChild>
        <w:div w:id="1271087671">
          <w:marLeft w:val="0"/>
          <w:marRight w:val="0"/>
          <w:marTop w:val="0"/>
          <w:marBottom w:val="0"/>
          <w:divBdr>
            <w:top w:val="none" w:sz="0" w:space="0" w:color="auto"/>
            <w:left w:val="none" w:sz="0" w:space="0" w:color="auto"/>
            <w:bottom w:val="none" w:sz="0" w:space="0" w:color="auto"/>
            <w:right w:val="none" w:sz="0" w:space="0" w:color="auto"/>
          </w:divBdr>
          <w:divsChild>
            <w:div w:id="1005519210">
              <w:marLeft w:val="0"/>
              <w:marRight w:val="0"/>
              <w:marTop w:val="0"/>
              <w:marBottom w:val="0"/>
              <w:divBdr>
                <w:top w:val="none" w:sz="0" w:space="0" w:color="auto"/>
                <w:left w:val="none" w:sz="0" w:space="0" w:color="auto"/>
                <w:bottom w:val="none" w:sz="0" w:space="0" w:color="auto"/>
                <w:right w:val="none" w:sz="0" w:space="0" w:color="auto"/>
              </w:divBdr>
              <w:divsChild>
                <w:div w:id="2060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9270">
      <w:bodyDiv w:val="1"/>
      <w:marLeft w:val="0"/>
      <w:marRight w:val="0"/>
      <w:marTop w:val="0"/>
      <w:marBottom w:val="0"/>
      <w:divBdr>
        <w:top w:val="none" w:sz="0" w:space="0" w:color="auto"/>
        <w:left w:val="none" w:sz="0" w:space="0" w:color="auto"/>
        <w:bottom w:val="none" w:sz="0" w:space="0" w:color="auto"/>
        <w:right w:val="none" w:sz="0" w:space="0" w:color="auto"/>
      </w:divBdr>
      <w:divsChild>
        <w:div w:id="533688944">
          <w:marLeft w:val="0"/>
          <w:marRight w:val="0"/>
          <w:marTop w:val="0"/>
          <w:marBottom w:val="0"/>
          <w:divBdr>
            <w:top w:val="none" w:sz="0" w:space="0" w:color="auto"/>
            <w:left w:val="none" w:sz="0" w:space="0" w:color="auto"/>
            <w:bottom w:val="none" w:sz="0" w:space="0" w:color="auto"/>
            <w:right w:val="none" w:sz="0" w:space="0" w:color="auto"/>
          </w:divBdr>
          <w:divsChild>
            <w:div w:id="702246347">
              <w:marLeft w:val="0"/>
              <w:marRight w:val="0"/>
              <w:marTop w:val="0"/>
              <w:marBottom w:val="0"/>
              <w:divBdr>
                <w:top w:val="none" w:sz="0" w:space="0" w:color="auto"/>
                <w:left w:val="none" w:sz="0" w:space="0" w:color="auto"/>
                <w:bottom w:val="none" w:sz="0" w:space="0" w:color="auto"/>
                <w:right w:val="none" w:sz="0" w:space="0" w:color="auto"/>
              </w:divBdr>
              <w:divsChild>
                <w:div w:id="11133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9766">
      <w:bodyDiv w:val="1"/>
      <w:marLeft w:val="0"/>
      <w:marRight w:val="0"/>
      <w:marTop w:val="0"/>
      <w:marBottom w:val="0"/>
      <w:divBdr>
        <w:top w:val="none" w:sz="0" w:space="0" w:color="auto"/>
        <w:left w:val="none" w:sz="0" w:space="0" w:color="auto"/>
        <w:bottom w:val="none" w:sz="0" w:space="0" w:color="auto"/>
        <w:right w:val="none" w:sz="0" w:space="0" w:color="auto"/>
      </w:divBdr>
      <w:divsChild>
        <w:div w:id="1275869815">
          <w:marLeft w:val="0"/>
          <w:marRight w:val="0"/>
          <w:marTop w:val="0"/>
          <w:marBottom w:val="0"/>
          <w:divBdr>
            <w:top w:val="none" w:sz="0" w:space="0" w:color="auto"/>
            <w:left w:val="none" w:sz="0" w:space="0" w:color="auto"/>
            <w:bottom w:val="none" w:sz="0" w:space="0" w:color="auto"/>
            <w:right w:val="none" w:sz="0" w:space="0" w:color="auto"/>
          </w:divBdr>
          <w:divsChild>
            <w:div w:id="1959483023">
              <w:marLeft w:val="0"/>
              <w:marRight w:val="0"/>
              <w:marTop w:val="0"/>
              <w:marBottom w:val="0"/>
              <w:divBdr>
                <w:top w:val="none" w:sz="0" w:space="0" w:color="auto"/>
                <w:left w:val="none" w:sz="0" w:space="0" w:color="auto"/>
                <w:bottom w:val="none" w:sz="0" w:space="0" w:color="auto"/>
                <w:right w:val="none" w:sz="0" w:space="0" w:color="auto"/>
              </w:divBdr>
              <w:divsChild>
                <w:div w:id="14388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624">
      <w:bodyDiv w:val="1"/>
      <w:marLeft w:val="0"/>
      <w:marRight w:val="0"/>
      <w:marTop w:val="0"/>
      <w:marBottom w:val="0"/>
      <w:divBdr>
        <w:top w:val="none" w:sz="0" w:space="0" w:color="auto"/>
        <w:left w:val="none" w:sz="0" w:space="0" w:color="auto"/>
        <w:bottom w:val="none" w:sz="0" w:space="0" w:color="auto"/>
        <w:right w:val="none" w:sz="0" w:space="0" w:color="auto"/>
      </w:divBdr>
      <w:divsChild>
        <w:div w:id="1987664779">
          <w:marLeft w:val="0"/>
          <w:marRight w:val="0"/>
          <w:marTop w:val="0"/>
          <w:marBottom w:val="0"/>
          <w:divBdr>
            <w:top w:val="none" w:sz="0" w:space="0" w:color="auto"/>
            <w:left w:val="none" w:sz="0" w:space="0" w:color="auto"/>
            <w:bottom w:val="none" w:sz="0" w:space="0" w:color="auto"/>
            <w:right w:val="none" w:sz="0" w:space="0" w:color="auto"/>
          </w:divBdr>
          <w:divsChild>
            <w:div w:id="966276803">
              <w:marLeft w:val="0"/>
              <w:marRight w:val="0"/>
              <w:marTop w:val="0"/>
              <w:marBottom w:val="0"/>
              <w:divBdr>
                <w:top w:val="none" w:sz="0" w:space="0" w:color="auto"/>
                <w:left w:val="none" w:sz="0" w:space="0" w:color="auto"/>
                <w:bottom w:val="none" w:sz="0" w:space="0" w:color="auto"/>
                <w:right w:val="none" w:sz="0" w:space="0" w:color="auto"/>
              </w:divBdr>
              <w:divsChild>
                <w:div w:id="4324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magnan@concordia.ca" TargetMode="External"/><Relationship Id="rId3" Type="http://schemas.openxmlformats.org/officeDocument/2006/relationships/webSettings" Target="webSettings.xml"/><Relationship Id="rId7" Type="http://schemas.openxmlformats.org/officeDocument/2006/relationships/hyperlink" Target="mailto:tmsl@telfer.uottawa.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yshi@iv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Middlemiss</dc:creator>
  <cp:keywords/>
  <dc:description/>
  <cp:lastModifiedBy>Katherine Emily Macdonald</cp:lastModifiedBy>
  <cp:revision>5</cp:revision>
  <cp:lastPrinted>2023-11-02T21:01:00Z</cp:lastPrinted>
  <dcterms:created xsi:type="dcterms:W3CDTF">2023-11-06T13:55:00Z</dcterms:created>
  <dcterms:modified xsi:type="dcterms:W3CDTF">2023-11-22T14:59:00Z</dcterms:modified>
</cp:coreProperties>
</file>